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ind w:firstLine="0"/>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89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p>
    <w:p>
      <w:pPr>
        <w:jc w:val="center"/>
        <w:spacing w:before="120" w:after="120" w:line="360" w:lineRule="auto"/>
        <w:rPr>
          <w:rFonts w:hint="eastAsia" w:ascii="宋体" w:hAnsi="宋体" w:eastAsia="宋体" w:cs="宋体"/>
          <w:b/>
          <w:bCs/>
          <w:sz w:val="32"/>
          <w:szCs w:val="24"/>
          <w:highlight w:val="none"/>
          <w:lang w:val="en-US" w:eastAsia="zh-CN"/>
        </w:rPr>
      </w:pPr>
      <w:r>
        <w:rPr>
          <w:rFonts w:hint="eastAsia" w:ascii="宋体" w:hAnsi="宋体" w:eastAsia="宋体" w:cs="宋体"/>
          <w:b/>
          <w:bCs/>
          <w:sz w:val="32"/>
          <w:szCs w:val="24"/>
          <w:highlight w:val="none"/>
        </w:rPr>
        <w:t xml:space="preserve">项目编号：JSZC-320623-JDGS-G2026-0028</w:t>
      </w:r>
      <w:r>
        <w:rPr>
          <w:rFonts w:hint="eastAsia" w:ascii="宋体" w:hAnsi="宋体" w:eastAsia="宋体" w:cs="宋体"/>
          <w:b/>
          <w:bCs/>
          <w:sz w:val="32"/>
          <w:szCs w:val="24"/>
          <w:highlight w:val="none"/>
          <w:lang w:val="en-US" w:eastAsia="zh-CN"/>
        </w:rPr>
        <w:t xml:space="preserve">    </w:t>
      </w:r>
      <w:r/>
    </w:p>
    <w:p>
      <w:pPr>
        <w:ind w:left="2887" w:hanging="2249"/>
        <w:jc w:val="left"/>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left="2887" w:hanging="2249"/>
        <w:jc w:val="left"/>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left="2887" w:hanging="2249"/>
        <w:jc w:val="left"/>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left="2887" w:hanging="2249"/>
        <w:jc w:val="left"/>
        <w:spacing w:before="120" w:after="12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pStyle w:val="751"/>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r>
      <w:r/>
    </w:p>
    <w:p>
      <w:pPr>
        <w:ind w:left="1843" w:right="-260" w:hanging="1417"/>
        <w:jc w:val="left"/>
        <w:spacing w:before="120" w:after="120" w:line="360" w:lineRule="auto"/>
        <w:rPr>
          <w:rFonts w:hint="eastAsia" w:ascii="宋体" w:hAnsi="宋体" w:eastAsia="宋体" w:cs="宋体"/>
          <w:b/>
          <w:bCs/>
          <w:sz w:val="28"/>
          <w:szCs w:val="28"/>
          <w:highlight w:val="none"/>
          <w:u w:val="single"/>
          <w:lang w:eastAsia="zh-CN"/>
        </w:rPr>
      </w:pPr>
      <w:r>
        <w:rPr>
          <w:rFonts w:hint="eastAsia" w:ascii="宋体" w:hAnsi="宋体" w:eastAsia="宋体" w:cs="宋体"/>
          <w:b/>
          <w:bCs/>
          <w:sz w:val="28"/>
          <w:szCs w:val="28"/>
          <w:highlight w:val="none"/>
        </w:rPr>
        <w:t xml:space="preserve">项目名称</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u w:val="single"/>
          <w:lang w:eastAsia="zh-CN"/>
        </w:rPr>
        <w:t xml:space="preserve">如东县洋口镇2026年度园区污水处理厂尾水排放用海及洋口镇</w:t>
      </w:r>
      <w:r/>
    </w:p>
    <w:p>
      <w:pPr>
        <w:ind w:left="1843" w:right="-260" w:hanging="1417"/>
        <w:jc w:val="left"/>
        <w:spacing w:before="120" w:after="120" w:line="360" w:lineRule="auto"/>
        <w:rPr>
          <w:rFonts w:hint="eastAsia" w:ascii="宋体" w:hAnsi="宋体" w:eastAsia="宋体" w:cs="宋体"/>
          <w:b/>
          <w:bCs/>
          <w:sz w:val="28"/>
          <w:szCs w:val="28"/>
          <w:highlight w:val="none"/>
          <w:u w:val="single"/>
          <w:lang w:eastAsia="zh-CN"/>
        </w:rPr>
      </w:pPr>
      <w:r>
        <w:rPr>
          <w:rFonts w:hint="eastAsia" w:ascii="宋体" w:hAnsi="宋体" w:eastAsia="宋体" w:cs="宋体"/>
          <w:b/>
          <w:bCs/>
          <w:sz w:val="28"/>
          <w:szCs w:val="28"/>
          <w:highlight w:val="none"/>
          <w:u w:val="single"/>
          <w:lang w:eastAsia="zh-CN"/>
        </w:rPr>
        <w:t xml:space="preserve">海洋环境与渔业资源跟踪监测评价项目</w:t>
      </w:r>
      <w:r/>
    </w:p>
    <w:p>
      <w:pPr>
        <w:ind w:right="-260" w:firstLine="472"/>
        <w:jc w:val="left"/>
        <w:spacing w:before="120" w:after="12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采购人名称：</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lang w:eastAsia="zh-CN"/>
        </w:rPr>
        <w:t xml:space="preserve">如东县洋口镇人民政府</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 </w:t>
      </w:r>
      <w:r/>
    </w:p>
    <w:p>
      <w:pPr>
        <w:ind w:right="-260" w:firstLine="472"/>
        <w:jc w:val="left"/>
        <w:spacing w:before="120" w:after="120"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 xml:space="preserve">采购方式：</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公开招标            </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u w:val="single"/>
          <w:lang w:val="en-US" w:eastAsia="zh-CN"/>
        </w:rPr>
        <w:t xml:space="preserve">       </w:t>
      </w:r>
      <w:r/>
    </w:p>
    <w:p>
      <w:pPr>
        <w:ind w:firstLine="3534"/>
        <w:jc w:val="left"/>
        <w:spacing w:before="120" w:after="120" w:line="360" w:lineRule="auto"/>
        <w:rPr>
          <w:rFonts w:hint="eastAsia" w:ascii="宋体" w:hAnsi="宋体" w:eastAsia="宋体" w:cs="宋体"/>
          <w:highlight w:val="none"/>
        </w:rPr>
        <w:sectPr>
          <w:footerReference w:type="default" r:id="rId9"/>
          <w:footnotePr/>
          <w:endnotePr/>
          <w:type w:val="nextPage"/>
          <w:pgSz w:w="11906" w:h="16838" w:orient="portrait"/>
          <w:pgMar w:top="1440" w:right="1080" w:bottom="1440" w:left="1080" w:header="851" w:footer="907" w:gutter="0"/>
          <w:pgNumType w:start="0"/>
          <w:cols w:num="1" w:sep="0" w:space="720" w:equalWidth="1"/>
          <w:docGrid w:linePitch="360"/>
        </w:sectPr>
      </w:pPr>
      <w:r>
        <w:rPr>
          <w:rFonts w:hint="eastAsia" w:ascii="宋体" w:hAnsi="宋体" w:eastAsia="宋体" w:cs="宋体"/>
          <w:b/>
          <w:bCs/>
          <w:sz w:val="32"/>
          <w:szCs w:val="24"/>
          <w:highlight w:val="none"/>
        </w:rPr>
        <w:t xml:space="preserve">二O二</w:t>
      </w:r>
      <w:r>
        <w:rPr>
          <w:rFonts w:hint="eastAsia" w:ascii="宋体" w:hAnsi="宋体" w:eastAsia="宋体" w:cs="宋体"/>
          <w:b/>
          <w:bCs/>
          <w:sz w:val="32"/>
          <w:szCs w:val="24"/>
          <w:highlight w:val="none"/>
          <w:lang w:val="en-US" w:eastAsia="zh-CN"/>
        </w:rPr>
        <w:t xml:space="preserve">六</w:t>
      </w:r>
      <w:r>
        <w:rPr>
          <w:rFonts w:hint="eastAsia" w:ascii="宋体" w:hAnsi="宋体" w:eastAsia="宋体" w:cs="宋体"/>
          <w:b/>
          <w:bCs/>
          <w:sz w:val="32"/>
          <w:szCs w:val="24"/>
          <w:highlight w:val="none"/>
        </w:rPr>
        <w:t xml:space="preserve">年</w:t>
      </w:r>
      <w:r>
        <w:rPr>
          <w:rFonts w:hint="eastAsia" w:ascii="宋体" w:hAnsi="宋体" w:eastAsia="宋体" w:cs="宋体"/>
          <w:b/>
          <w:bCs/>
          <w:sz w:val="32"/>
          <w:szCs w:val="24"/>
          <w:highlight w:val="none"/>
          <w:lang w:val="en-US" w:eastAsia="zh-CN"/>
        </w:rPr>
        <w:t xml:space="preserve">五</w:t>
      </w:r>
      <w:r>
        <w:rPr>
          <w:rFonts w:hint="eastAsia" w:ascii="宋体" w:hAnsi="宋体" w:eastAsia="宋体" w:cs="宋体"/>
          <w:b/>
          <w:bCs/>
          <w:sz w:val="32"/>
          <w:szCs w:val="24"/>
          <w:highlight w:val="none"/>
        </w:rPr>
        <w:t xml:space="preserve">月  </w:t>
      </w:r>
      <w:r/>
    </w:p>
    <w:p>
      <w:pPr>
        <w:pStyle w:val="895"/>
        <w:ind w:firstLine="0"/>
        <w:jc w:val="both"/>
        <w:rPr>
          <w:rFonts w:hint="eastAsia" w:ascii="宋体" w:hAnsi="宋体" w:eastAsia="宋体" w:cs="宋体"/>
          <w:highlight w:val="none"/>
        </w:rPr>
      </w:pPr>
      <w:r>
        <w:rPr>
          <w:rFonts w:hint="eastAsia" w:ascii="宋体" w:hAnsi="宋体" w:eastAsia="宋体" w:cs="宋体"/>
          <w:highlight w:val="none"/>
        </w:rPr>
      </w:r>
      <w:r/>
    </w:p>
    <w:p>
      <w:pPr>
        <w:ind w:firstLine="3570"/>
        <w:spacing w:line="480" w:lineRule="auto"/>
        <w:rPr>
          <w:rFonts w:hint="eastAsia" w:ascii="宋体" w:hAnsi="宋体" w:eastAsia="宋体" w:cs="宋体"/>
          <w:b/>
          <w:sz w:val="44"/>
          <w:highlight w:val="none"/>
          <w:lang w:val="en-US" w:eastAsia="zh-CN"/>
        </w:rPr>
      </w:pPr>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宋体" w:hAnsi="宋体" w:eastAsia="宋体" w:cs="宋体"/>
          <w:b/>
          <w:sz w:val="44"/>
          <w:highlight w:val="none"/>
        </w:rPr>
        <w:t xml:space="preserve">总  目  录</w:t>
      </w:r>
      <w:r>
        <w:rPr>
          <w:rFonts w:hint="eastAsia" w:ascii="宋体" w:hAnsi="宋体" w:cs="宋体"/>
          <w:b/>
          <w:sz w:val="44"/>
          <w:highlight w:val="non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caps w:val="0"/>
          <w:sz w:val="28"/>
          <w:szCs w:val="28"/>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"1-1" \h \u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"_Toc186493267" </w:instrText>
      </w:r>
      <w:r>
        <w:rPr>
          <w:rFonts w:hint="eastAsia" w:ascii="宋体" w:hAnsi="宋体" w:eastAsia="宋体" w:cs="宋体"/>
          <w:sz w:val="28"/>
          <w:szCs w:val="28"/>
          <w:highlight w:val="none"/>
        </w:rPr>
        <w:fldChar w:fldCharType="separate"/>
      </w:r>
      <w:r>
        <w:rPr>
          <w:rStyle w:val="710"/>
          <w:rFonts w:hint="eastAsia" w:ascii="宋体" w:hAnsi="宋体" w:eastAsia="宋体" w:cs="宋体"/>
          <w:b/>
          <w:bCs/>
          <w:color w:val="auto"/>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_Toc186493267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693"/>
        <w:rPr>
          <w:rFonts w:hint="eastAsia" w:ascii="宋体" w:hAnsi="宋体" w:eastAsia="宋体" w:cs="宋体"/>
          <w:caps w:val="0"/>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"_Toc186493268" </w:instrText>
      </w:r>
      <w:r>
        <w:rPr>
          <w:rFonts w:hint="eastAsia" w:ascii="宋体" w:hAnsi="宋体" w:eastAsia="宋体" w:cs="宋体"/>
          <w:sz w:val="28"/>
          <w:szCs w:val="28"/>
          <w:highlight w:val="none"/>
        </w:rPr>
        <w:fldChar w:fldCharType="separate"/>
      </w:r>
      <w:r>
        <w:rPr>
          <w:rStyle w:val="710"/>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sz w:val="28"/>
          <w:szCs w:val="28"/>
          <w:highlight w:val="none"/>
        </w:rPr>
        <w:tab/>
      </w:r>
      <w:r>
        <w:rPr>
          <w:rFonts w:hint="eastAsia" w:cs="宋体"/>
          <w:sz w:val="28"/>
          <w:szCs w:val="28"/>
          <w:highlight w:val="none"/>
          <w:lang w:val="en-US" w:eastAsia="zh-CN"/>
        </w:rPr>
        <w:t xml:space="preserve">5</w:t>
      </w:r>
      <w:r>
        <w:rPr>
          <w:rFonts w:hint="eastAsia" w:ascii="宋体" w:hAnsi="宋体" w:eastAsia="宋体" w:cs="宋体"/>
          <w:sz w:val="28"/>
          <w:szCs w:val="28"/>
          <w:highlight w:val="none"/>
        </w:rPr>
        <w:fldChar w:fldCharType="end"/>
      </w:r>
      <w:r/>
    </w:p>
    <w:p>
      <w:pPr>
        <w:pStyle w:val="693"/>
        <w:rPr>
          <w:rFonts w:hint="eastAsia" w:ascii="宋体" w:hAnsi="宋体" w:eastAsia="宋体" w:cs="宋体"/>
          <w:caps w:val="0"/>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"_Toc186493269" </w:instrText>
      </w:r>
      <w:r>
        <w:rPr>
          <w:rFonts w:hint="eastAsia" w:ascii="宋体" w:hAnsi="宋体" w:eastAsia="宋体" w:cs="宋体"/>
          <w:sz w:val="28"/>
          <w:szCs w:val="28"/>
          <w:highlight w:val="none"/>
        </w:rPr>
        <w:fldChar w:fldCharType="separate"/>
      </w:r>
      <w:r>
        <w:rPr>
          <w:rStyle w:val="710"/>
          <w:rFonts w:hint="eastAsia" w:ascii="宋体" w:hAnsi="宋体" w:eastAsia="宋体" w:cs="宋体"/>
          <w:b/>
          <w:color w:val="auto"/>
          <w:sz w:val="28"/>
          <w:szCs w:val="28"/>
          <w:highlight w:val="none"/>
        </w:rPr>
        <w:t xml:space="preserve">第三章  采购需求</w:t>
      </w:r>
      <w:r>
        <w:rPr>
          <w:rFonts w:hint="eastAsia" w:ascii="宋体" w:hAnsi="宋体" w:eastAsia="宋体" w:cs="宋体"/>
          <w:sz w:val="28"/>
          <w:szCs w:val="28"/>
          <w:highlight w:val="none"/>
        </w:rPr>
        <w:tab/>
      </w:r>
      <w:r>
        <w:rPr>
          <w:rFonts w:hint="eastAsia" w:cs="宋体"/>
          <w:sz w:val="28"/>
          <w:szCs w:val="28"/>
          <w:highlight w:val="none"/>
          <w:lang w:val="en-US" w:eastAsia="zh-CN"/>
        </w:rPr>
        <w:t xml:space="preserve">1</w:t>
      </w:r>
      <w:r>
        <w:rPr>
          <w:rFonts w:hint="eastAsia" w:ascii="宋体" w:hAnsi="宋体" w:eastAsia="宋体" w:cs="宋体"/>
          <w:sz w:val="28"/>
          <w:szCs w:val="28"/>
          <w:highlight w:val="none"/>
        </w:rPr>
        <w:fldChar w:fldCharType="end"/>
      </w:r>
      <w:r>
        <w:rPr>
          <w:rFonts w:hint="eastAsia" w:cs="宋体"/>
          <w:sz w:val="28"/>
          <w:szCs w:val="28"/>
          <w:highlight w:val="none"/>
          <w:lang w:val="en-US" w:eastAsia="zh-CN"/>
        </w:rPr>
        <w:t xml:space="preserve">7</w:t>
      </w:r>
      <w:r/>
    </w:p>
    <w:p>
      <w:pPr>
        <w:pStyle w:val="693"/>
        <w:rPr>
          <w:rFonts w:hint="eastAsia" w:ascii="宋体" w:hAnsi="宋体" w:eastAsia="宋体" w:cs="宋体"/>
          <w:caps w:val="0"/>
          <w:sz w:val="28"/>
          <w:szCs w:val="28"/>
          <w:highlight w:val="none"/>
          <w:lang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"_Toc186493270" </w:instrText>
      </w:r>
      <w:r>
        <w:rPr>
          <w:rFonts w:hint="eastAsia" w:ascii="宋体" w:hAnsi="宋体" w:eastAsia="宋体" w:cs="宋体"/>
          <w:sz w:val="28"/>
          <w:szCs w:val="28"/>
          <w:highlight w:val="none"/>
        </w:rPr>
        <w:fldChar w:fldCharType="separate"/>
      </w:r>
      <w:r>
        <w:rPr>
          <w:rStyle w:val="710"/>
          <w:rFonts w:hint="eastAsia" w:ascii="宋体" w:hAnsi="宋体" w:eastAsia="宋体" w:cs="宋体"/>
          <w:b/>
          <w:color w:val="auto"/>
          <w:sz w:val="28"/>
          <w:szCs w:val="28"/>
          <w:highlight w:val="none"/>
        </w:rPr>
        <w:t xml:space="preserve">第四章  评标方</w:t>
      </w:r>
      <w:r>
        <w:rPr>
          <w:rStyle w:val="710"/>
          <w:rFonts w:hint="eastAsia" w:ascii="宋体" w:hAnsi="宋体" w:eastAsia="宋体" w:cs="宋体"/>
          <w:b/>
          <w:bCs/>
          <w:color w:val="auto"/>
          <w:sz w:val="28"/>
          <w:szCs w:val="28"/>
          <w:highlight w:val="none"/>
        </w:rPr>
        <w:t xml:space="preserve">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cs="宋体"/>
          <w:sz w:val="28"/>
          <w:szCs w:val="28"/>
          <w:highlight w:val="none"/>
          <w:lang w:val="en-US" w:eastAsia="zh-CN"/>
        </w:rPr>
        <w:t xml:space="preserve">5</w:t>
      </w:r>
      <w:r/>
    </w:p>
    <w:p>
      <w:pPr>
        <w:pStyle w:val="693"/>
        <w:rPr>
          <w:rFonts w:hint="eastAsia" w:ascii="宋体" w:hAnsi="宋体" w:eastAsia="宋体" w:cs="宋体"/>
          <w:sz w:val="28"/>
          <w:szCs w:val="28"/>
          <w:highlight w:val="none"/>
          <w:lang w:eastAsia="zh-CN"/>
        </w:rPr>
      </w:pPr>
      <w:r>
        <w:rPr>
          <w:rStyle w:val="710"/>
          <w:rFonts w:hint="eastAsia" w:ascii="宋体" w:hAnsi="宋体" w:eastAsia="宋体" w:cs="宋体"/>
          <w:b/>
          <w:bCs/>
          <w:color w:val="auto"/>
          <w:sz w:val="28"/>
          <w:szCs w:val="28"/>
          <w:highlight w:val="none"/>
        </w:rPr>
        <w:t xml:space="preserve">第五章  合同文本格式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2</w:t>
      </w:r>
      <w:r>
        <w:rPr>
          <w:rFonts w:hint="eastAsia" w:cs="宋体"/>
          <w:sz w:val="28"/>
          <w:szCs w:val="28"/>
          <w:highlight w:val="none"/>
          <w:lang w:val="en-US" w:eastAsia="zh-CN"/>
        </w:rPr>
        <w:t xml:space="preserve">9</w:t>
      </w:r>
      <w:r/>
    </w:p>
    <w:p>
      <w:pPr>
        <w:pStyle w:val="693"/>
        <w:rPr>
          <w:rFonts w:hint="eastAsia" w:ascii="宋体" w:hAnsi="宋体" w:eastAsia="宋体" w:cs="宋体"/>
          <w:caps w:val="0"/>
          <w:sz w:val="21"/>
          <w:szCs w:val="22"/>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"_Toc186493271" </w:instrText>
      </w:r>
      <w:r>
        <w:rPr>
          <w:rFonts w:hint="eastAsia" w:ascii="宋体" w:hAnsi="宋体" w:eastAsia="宋体" w:cs="宋体"/>
          <w:sz w:val="28"/>
          <w:szCs w:val="28"/>
          <w:highlight w:val="none"/>
        </w:rPr>
        <w:fldChar w:fldCharType="separate"/>
      </w:r>
      <w:r>
        <w:rPr>
          <w:rStyle w:val="710"/>
          <w:rFonts w:hint="eastAsia" w:ascii="宋体" w:hAnsi="宋体" w:eastAsia="宋体" w:cs="宋体"/>
          <w:b/>
          <w:color w:val="auto"/>
          <w:sz w:val="28"/>
          <w:szCs w:val="28"/>
          <w:highlight w:val="none"/>
        </w:rPr>
        <w:t xml:space="preserve">第六章  投标文件格式</w:t>
      </w:r>
      <w:r>
        <w:rPr>
          <w:rFonts w:hint="eastAsia" w:ascii="宋体" w:hAnsi="宋体" w:eastAsia="宋体" w:cs="宋体"/>
          <w:sz w:val="28"/>
          <w:szCs w:val="28"/>
          <w:highlight w:val="none"/>
        </w:rPr>
        <w:tab/>
      </w:r>
      <w:r>
        <w:rPr>
          <w:rFonts w:hint="eastAsia" w:cs="宋体"/>
          <w:sz w:val="28"/>
          <w:szCs w:val="28"/>
          <w:highlight w:val="none"/>
          <w:lang w:val="en-US" w:eastAsia="zh-CN"/>
        </w:rPr>
        <w:t xml:space="preserve">3</w:t>
      </w:r>
      <w:r>
        <w:rPr>
          <w:rFonts w:hint="eastAsia" w:ascii="宋体" w:hAnsi="宋体" w:eastAsia="宋体" w:cs="宋体"/>
          <w:sz w:val="28"/>
          <w:szCs w:val="28"/>
          <w:highlight w:val="none"/>
        </w:rPr>
        <w:fldChar w:fldCharType="end"/>
      </w:r>
      <w:r>
        <w:rPr>
          <w:rFonts w:hint="eastAsia" w:cs="宋体"/>
          <w:sz w:val="28"/>
          <w:szCs w:val="28"/>
          <w:highlight w:val="none"/>
          <w:lang w:val="en-US" w:eastAsia="zh-CN"/>
        </w:rPr>
        <w:t xml:space="preserve">4</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end"/>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67"/>
        <w:rPr>
          <w:rFonts w:hint="eastAsia" w:ascii="宋体" w:hAnsi="宋体" w:eastAsia="宋体" w:cs="宋体"/>
          <w:b/>
          <w:bCs/>
          <w:sz w:val="44"/>
          <w:szCs w:val="44"/>
          <w:highlight w:val="none"/>
        </w:rPr>
        <w:sectPr>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pPr>
      <w:r>
        <w:rPr>
          <w:rFonts w:hint="eastAsia" w:ascii="宋体" w:hAnsi="宋体" w:eastAsia="宋体" w:cs="宋体"/>
          <w:b/>
          <w:bCs/>
          <w:sz w:val="44"/>
          <w:szCs w:val="44"/>
          <w:highlight w:val="none"/>
        </w:rPr>
      </w:r>
      <w:r/>
    </w:p>
    <w:p>
      <w:pPr>
        <w:pStyle w:val="667"/>
        <w:spacing w:line="360" w:lineRule="auto"/>
        <w:rPr>
          <w:rFonts w:hint="eastAsia" w:ascii="宋体" w:hAnsi="宋体" w:eastAsia="宋体" w:cs="宋体"/>
          <w:b/>
          <w:bCs/>
          <w:sz w:val="44"/>
          <w:szCs w:val="44"/>
          <w:highlight w:val="none"/>
        </w:rPr>
      </w:pPr>
      <w:r/>
      <w:bookmarkStart w:id="6" w:name="_Toc186493267"/>
      <w:r>
        <w:rPr>
          <w:rFonts w:hint="eastAsia" w:ascii="宋体" w:hAnsi="宋体" w:eastAsia="宋体" w:cs="宋体"/>
          <w:b/>
          <w:bCs/>
          <w:sz w:val="44"/>
          <w:szCs w:val="44"/>
          <w:highlight w:val="none"/>
        </w:rPr>
        <w:t xml:space="preserve">第一章  </w:t>
      </w:r>
      <w:bookmarkEnd w:id="0"/>
      <w:r>
        <w:rPr>
          <w:rFonts w:hint="eastAsia" w:ascii="宋体" w:hAnsi="宋体" w:eastAsia="宋体" w:cs="宋体"/>
          <w:b/>
          <w:bCs/>
          <w:sz w:val="44"/>
          <w:szCs w:val="44"/>
          <w:highlight w:val="none"/>
        </w:rPr>
        <w:t xml:space="preserve">投标邀请</w:t>
      </w:r>
      <w:bookmarkEnd w:id="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如东县洋口镇人民政府</w:t>
      </w:r>
      <w:r>
        <w:rPr>
          <w:rFonts w:hint="eastAsia" w:ascii="宋体" w:hAnsi="宋体" w:eastAsia="宋体" w:cs="宋体"/>
          <w:sz w:val="24"/>
          <w:szCs w:val="24"/>
          <w:highlight w:val="none"/>
        </w:rPr>
        <w:t xml:space="preserve">的委托，就</w:t>
      </w:r>
      <w:r>
        <w:rPr>
          <w:rFonts w:hint="eastAsia" w:ascii="宋体" w:hAnsi="宋体" w:eastAsia="宋体" w:cs="宋体"/>
          <w:sz w:val="24"/>
          <w:szCs w:val="24"/>
          <w:highlight w:val="none"/>
          <w:lang w:eastAsia="zh-CN"/>
        </w:rPr>
        <w:t xml:space="preserve">如东县洋口镇2026年度园区污水处理厂尾水排放用海及洋口镇海洋环境与渔业资源跟踪监测评价项目【项目编号：</w:t>
      </w:r>
      <w:r>
        <w:rPr>
          <w:rFonts w:hint="eastAsia" w:ascii="宋体" w:hAnsi="宋体" w:eastAsia="宋体" w:cs="宋体"/>
          <w:sz w:val="24"/>
          <w:szCs w:val="24"/>
          <w:highlight w:val="none"/>
          <w:lang w:val="en-US" w:eastAsia="zh-CN"/>
        </w:rPr>
        <w:t xml:space="preserve">JSZC-320623-JDGS-G2026-0028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进行公开招标采购，欢迎符合条件的供应商投标。</w:t>
      </w:r>
      <w:r/>
    </w:p>
    <w:p>
      <w:pPr>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lang w:eastAsia="zh-CN"/>
        </w:rPr>
        <w:t xml:space="preserve">如东县洋口镇2026年度园区污水处理厂尾水排放用海及洋口镇海洋环境与渔业资源跟踪监测评价项目</w:t>
      </w:r>
      <w:r>
        <w:rPr>
          <w:rFonts w:hint="eastAsia" w:ascii="宋体" w:hAnsi="宋体" w:eastAsia="宋体" w:cs="宋体"/>
          <w:sz w:val="24"/>
          <w:szCs w:val="24"/>
          <w:highlight w:val="none"/>
        </w:rPr>
        <w:t xml:space="preserve">招标的潜在投标人可在</w:t>
      </w:r>
      <w:r>
        <w:rPr>
          <w:rFonts w:hint="eastAsia" w:ascii="宋体" w:hAnsi="宋体" w:eastAsia="宋体" w:cs="宋体"/>
          <w:sz w:val="24"/>
          <w:szCs w:val="24"/>
          <w:highlight w:val="none"/>
          <w:u w:val="single"/>
        </w:rPr>
        <w:t xml:space="preserve">“江苏政府采购网”自行免费下载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月25</w:t>
      </w:r>
      <w:r>
        <w:rPr>
          <w:rFonts w:hint="eastAsia" w:ascii="宋体" w:hAnsi="宋体" w:eastAsia="宋体" w:cs="宋体"/>
          <w:bCs/>
          <w:sz w:val="24"/>
          <w:szCs w:val="24"/>
          <w:highlight w:val="none"/>
          <w:u w:val="single"/>
        </w:rPr>
        <w:t xml:space="preserve">日上午</w:t>
      </w:r>
      <w:r>
        <w:rPr>
          <w:rFonts w:hint="eastAsia" w:ascii="宋体" w:hAnsi="宋体" w:eastAsia="宋体" w:cs="宋体"/>
          <w:bCs/>
          <w:sz w:val="24"/>
          <w:szCs w:val="24"/>
          <w:highlight w:val="none"/>
          <w:u w:val="single"/>
          <w:lang w:val="en-US" w:eastAsia="zh-CN"/>
        </w:rPr>
        <w:t xml:space="preserve">09</w:t>
      </w:r>
      <w:r>
        <w:rPr>
          <w:rFonts w:hint="eastAsia" w:ascii="宋体" w:hAnsi="宋体" w:eastAsia="宋体" w:cs="宋体"/>
          <w:bCs/>
          <w:sz w:val="24"/>
          <w:szCs w:val="24"/>
          <w:highlight w:val="none"/>
          <w:u w:val="single"/>
        </w:rPr>
        <w:t xml:space="preserve">点</w:t>
      </w:r>
      <w:r>
        <w:rPr>
          <w:rFonts w:hint="eastAsia" w:ascii="宋体" w:hAnsi="宋体" w:eastAsia="宋体" w:cs="宋体"/>
          <w:bCs/>
          <w:sz w:val="24"/>
          <w:szCs w:val="24"/>
          <w:highlight w:val="none"/>
          <w:u w:val="single"/>
          <w:lang w:val="en-US" w:eastAsia="zh-CN"/>
        </w:rPr>
        <w:t xml:space="preserve">30</w:t>
      </w:r>
      <w:r>
        <w:rPr>
          <w:rFonts w:hint="eastAsia" w:ascii="宋体" w:hAnsi="宋体" w:eastAsia="宋体" w:cs="宋体"/>
          <w:bCs/>
          <w:sz w:val="24"/>
          <w:szCs w:val="24"/>
          <w:highlight w:val="none"/>
          <w:u w:val="single"/>
        </w:rPr>
        <w:t xml:space="preserve">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ind w:left="0" w:firstLine="368"/>
        <w:jc w:val="left"/>
        <w:keepLines w:val="0"/>
        <w:keepNext w:val="0"/>
        <w:pageBreakBefore w:val="0"/>
        <w:spacing w:line="360" w:lineRule="auto"/>
        <w:widowControl w:val="off"/>
        <w:rPr>
          <w:rFonts w:hint="eastAsia" w:ascii="宋体" w:hAnsi="宋体" w:eastAsia="宋体" w:cs="宋体"/>
          <w:b/>
          <w:bCs/>
          <w:sz w:val="28"/>
          <w:szCs w:val="28"/>
          <w:highlight w:val="none"/>
          <w:lang w:eastAsia="zh-CN"/>
        </w:rPr>
      </w:pPr>
      <w:r/>
      <w:bookmarkStart w:id="7" w:name="_Toc35393621"/>
      <w:r/>
      <w:bookmarkStart w:id="8" w:name="_Toc28359002"/>
      <w:r/>
      <w:bookmarkStart w:id="9" w:name="_Toc38985263"/>
      <w:r/>
      <w:bookmarkStart w:id="10" w:name="_Toc35393790"/>
      <w:r/>
      <w:bookmarkStart w:id="11" w:name="_Toc28359079"/>
      <w:r/>
      <w:bookmarkStart w:id="12" w:name="_Hlk24379207"/>
      <w:r>
        <w:rPr>
          <w:rFonts w:hint="eastAsia" w:ascii="宋体" w:hAnsi="宋体" w:eastAsia="宋体" w:cs="宋体"/>
          <w:b/>
          <w:bCs/>
          <w:sz w:val="28"/>
          <w:szCs w:val="28"/>
          <w:highlight w:val="none"/>
        </w:rPr>
        <w:t xml:space="preserve">一、项目基本情况</w:t>
      </w:r>
      <w:bookmarkEnd w:id="7"/>
      <w:r/>
      <w:bookmarkEnd w:id="8"/>
      <w:r/>
      <w:bookmarkEnd w:id="9"/>
      <w:r/>
      <w:bookmarkEnd w:id="10"/>
      <w:r/>
      <w:bookmarkEnd w:id="1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1.项目编号：JSZC-320623-JDGS-G2026-0028</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2"/>
      <w:r>
        <w:rPr>
          <w:rFonts w:hint="eastAsia" w:ascii="宋体" w:hAnsi="宋体" w:eastAsia="宋体" w:cs="宋体"/>
          <w:color w:val="auto"/>
          <w:sz w:val="24"/>
          <w:szCs w:val="24"/>
          <w:highlight w:val="none"/>
          <w:lang w:eastAsia="zh-CN"/>
        </w:rPr>
        <w:t xml:space="preserve">如东县洋口镇2026年度园区污水处理厂尾水排放用海及洋口镇海洋环境与渔业资源跟踪监测评价项目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4.项目类型：服务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5.所属行业：其他未列明行业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6.预算金额（人民币）：</w:t>
      </w:r>
      <w:r>
        <w:rPr>
          <w:rFonts w:hint="eastAsia" w:ascii="宋体" w:hAnsi="宋体" w:eastAsia="宋体" w:cs="宋体"/>
          <w:color w:val="auto"/>
          <w:sz w:val="24"/>
          <w:szCs w:val="24"/>
          <w:highlight w:val="none"/>
          <w:lang w:val="en-US" w:eastAsia="zh-CN"/>
        </w:rPr>
        <w:t xml:space="preserve">280</w:t>
      </w:r>
      <w:r>
        <w:rPr>
          <w:rFonts w:hint="eastAsia" w:ascii="宋体" w:hAnsi="宋体" w:eastAsia="宋体" w:cs="宋体"/>
          <w:color w:val="auto"/>
          <w:sz w:val="24"/>
          <w:szCs w:val="24"/>
          <w:highlight w:val="none"/>
        </w:rPr>
        <w:t xml:space="preserve">万元。</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7.采购需求（简介）：详细内容见本招标文件第三章。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9.本项目（是/否）接受联合体投标：</w:t>
      </w:r>
      <w:r>
        <w:rPr>
          <w:rFonts w:hint="eastAsia" w:ascii="宋体" w:hAnsi="宋体" w:eastAsia="宋体" w:cs="宋体"/>
          <w:sz w:val="24"/>
          <w:szCs w:val="24"/>
          <w:highlight w:val="none"/>
          <w:lang w:val="en-US" w:eastAsia="zh-CN"/>
        </w:rPr>
        <w:t xml:space="preserve">是</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10.本项目是否接受分包：否。</w:t>
      </w:r>
      <w:r/>
    </w:p>
    <w:p>
      <w:pPr>
        <w:ind w:left="0" w:firstLine="368"/>
        <w:jc w:val="left"/>
        <w:keepLines w:val="0"/>
        <w:keepNext w:val="0"/>
        <w:pageBreakBefore w:val="0"/>
        <w:spacing w:line="360" w:lineRule="auto"/>
        <w:widowControl w:val="off"/>
        <w:rPr>
          <w:rFonts w:hint="eastAsia" w:ascii="宋体" w:hAnsi="宋体" w:eastAsia="宋体" w:cs="宋体"/>
          <w:b/>
          <w:bCs/>
          <w:sz w:val="28"/>
          <w:szCs w:val="28"/>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b/>
          <w:bCs/>
          <w:sz w:val="28"/>
          <w:szCs w:val="28"/>
          <w:highlight w:val="none"/>
        </w:rPr>
        <w:t xml:space="preserve">二、申请人的资格要求</w:t>
      </w:r>
      <w:bookmarkEnd w:id="13"/>
      <w:r/>
      <w:bookmarkEnd w:id="14"/>
      <w:r/>
      <w:bookmarkEnd w:id="15"/>
      <w:r/>
      <w:bookmarkEnd w:id="16"/>
      <w:r/>
      <w:bookmarkEnd w:id="17"/>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18" w:name="_Toc35393623"/>
      <w:r/>
      <w:bookmarkStart w:id="19" w:name="_Toc28359081"/>
      <w:r/>
      <w:bookmarkStart w:id="20" w:name="_Toc28359004"/>
      <w:r/>
      <w:bookmarkStart w:id="21" w:name="_Toc35393792"/>
      <w:r/>
      <w:bookmarkStart w:id="22" w:name="_Toc38985265"/>
      <w:r>
        <w:rPr>
          <w:rFonts w:hint="eastAsia" w:ascii="宋体" w:hAnsi="宋体" w:eastAsia="宋体" w:cs="宋体"/>
          <w:sz w:val="24"/>
          <w:szCs w:val="24"/>
          <w:highlight w:val="none"/>
        </w:rPr>
        <w:t xml:space="preserve">（一）通用资格要求</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1.满足《中华人民共和国政府采购法》第二十二条规定；（按附件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格式进行声明，投标文件中无需提供其他证明材料）；</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 落实政府采购政策需满足的资格要求：</w:t>
      </w:r>
      <w:r>
        <w:rPr>
          <w:rFonts w:hint="eastAsia" w:ascii="宋体" w:hAnsi="宋体" w:eastAsia="宋体" w:cs="宋体"/>
          <w:sz w:val="24"/>
          <w:szCs w:val="24"/>
          <w:highlight w:val="none"/>
          <w:lang w:val="en-US" w:eastAsia="zh-CN"/>
        </w:rPr>
        <w:t xml:space="preserve">无</w:t>
      </w:r>
      <w:r/>
    </w:p>
    <w:p>
      <w:pPr>
        <w:pStyle w:val="68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（二）本项目的特定资格要求：</w:t>
      </w:r>
      <w:r/>
    </w:p>
    <w:p>
      <w:pPr>
        <w:pStyle w:val="68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必须具有国家认证认可监督管理委员会颁发的CMA资质认定证书【能力附表认证类别必须同时包括海水（或水质）、海洋沉积物、生物（或生物生态或同时具有浮游生物、底栖生物、潮间带生物、游泳动物4类）、生物体残留（或生物体质量或海洋生物体）4大类检测能力。】</w:t>
      </w:r>
      <w:r/>
    </w:p>
    <w:p>
      <w:pPr>
        <w:pStyle w:val="682"/>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2、拟派项目负责人具有环境类或海洋类（含水产工程）专业正高职称。</w:t>
      </w:r>
      <w:r/>
    </w:p>
    <w:p>
      <w:pPr>
        <w:pStyle w:val="701"/>
        <w:ind w:left="0" w:right="0" w:firstLine="482"/>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（三）本项目接受联合体投标，联合体投标要求如下：</w:t>
      </w:r>
      <w:r/>
    </w:p>
    <w:p>
      <w:pPr>
        <w:pStyle w:val="701"/>
        <w:ind w:left="0" w:firstLine="480"/>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（1）投标人为联合体的，每个联合体投标人最多由</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家单位组成。</w:t>
      </w:r>
      <w:r/>
    </w:p>
    <w:p>
      <w:pPr>
        <w:pStyle w:val="701"/>
        <w:ind w:left="0" w:firstLine="480"/>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）联合体投标的，必须提供联合体协议，明确联合体牵头人和各方权利义务（联合体协议由投标人自拟）。</w:t>
      </w:r>
      <w:r/>
    </w:p>
    <w:p>
      <w:pPr>
        <w:pStyle w:val="701"/>
        <w:ind w:left="0" w:firstLine="480"/>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）联合体各方不得再以自己名义单独或参加其他联合体在同一项目中的投标。</w:t>
      </w:r>
      <w:r/>
    </w:p>
    <w:p>
      <w:pPr>
        <w:pStyle w:val="701"/>
        <w:ind w:left="0" w:firstLine="480"/>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）联合体各方应共同与采购人签订合同协议书。</w:t>
      </w:r>
      <w:r/>
    </w:p>
    <w:p>
      <w:pPr>
        <w:pStyle w:val="701"/>
        <w:ind w:left="0" w:firstLine="480"/>
        <w:jc w:val="both"/>
        <w:keepLines/>
        <w:keepNext/>
        <w:pageBreakBefore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）联合体协议经采购人确认后作为合同附件。在履行合同过程中，未经采购人同意，不得修改联合体协议。</w:t>
      </w:r>
      <w:r/>
    </w:p>
    <w:p>
      <w:pPr>
        <w:pStyle w:val="701"/>
        <w:ind w:left="0" w:firstLine="480"/>
        <w:jc w:val="both"/>
        <w:keepLines/>
        <w:keepNext/>
        <w:pageBreakBefore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）投标文件由联合体牵头人编制并盖章，对联合体各成员具有约束力。</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18"/>
      <w:r/>
      <w:bookmarkEnd w:id="19"/>
      <w:r/>
      <w:bookmarkEnd w:id="20"/>
      <w:r/>
      <w:bookmarkEnd w:id="21"/>
      <w:r/>
      <w:bookmarkEnd w:id="22"/>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sz w:val="24"/>
          <w:szCs w:val="24"/>
          <w:highlight w:val="none"/>
        </w:rPr>
        <w:t xml:space="preserve">1.时间：自本公告发布之日起5个工作日。</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2.地点：“江苏政府采购网”</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3.方式：凡有意参与投标的供应商须登录江苏政府采购网首页点击“苏采云”→通过CA锁进行响应确认，并自行</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文件有</w:t>
      </w:r>
      <w:r>
        <w:rPr>
          <w:rFonts w:hint="eastAsia" w:ascii="宋体" w:hAnsi="宋体" w:eastAsia="宋体" w:cs="宋体"/>
          <w:sz w:val="24"/>
          <w:szCs w:val="24"/>
          <w:highlight w:val="none"/>
        </w:rPr>
        <w:t xml:space="preserve">效获取期内及时下载获取。</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4.售价：免费</w:t>
      </w:r>
      <w:r/>
    </w:p>
    <w:p>
      <w:pPr>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四、提交投标文件</w:t>
      </w:r>
      <w:bookmarkEnd w:id="23"/>
      <w:r/>
      <w:bookmarkEnd w:id="24"/>
      <w:r>
        <w:rPr>
          <w:rFonts w:hint="eastAsia" w:ascii="宋体" w:hAnsi="宋体" w:eastAsia="宋体" w:cs="宋体"/>
          <w:b/>
          <w:bCs/>
          <w:sz w:val="28"/>
          <w:szCs w:val="28"/>
          <w:highlight w:val="none"/>
        </w:rPr>
        <w:t xml:space="preserve">截止时间、开标时间和地点</w:t>
      </w:r>
      <w:bookmarkEnd w:id="25"/>
      <w:r/>
      <w:bookmarkEnd w:id="26"/>
      <w:r/>
      <w:bookmarkEnd w:id="27"/>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28" w:name="_Toc35393625"/>
      <w:r/>
      <w:bookmarkStart w:id="29" w:name="_Toc28359007"/>
      <w:r/>
      <w:bookmarkStart w:id="30" w:name="_Toc38985267"/>
      <w:r/>
      <w:bookmarkStart w:id="31" w:name="_Toc28359084"/>
      <w:r/>
      <w:bookmarkStart w:id="32" w:name="_Toc35393794"/>
      <w:r>
        <w:rPr>
          <w:rFonts w:hint="eastAsia" w:ascii="宋体" w:hAnsi="宋体" w:eastAsia="宋体" w:cs="宋体"/>
          <w:bCs/>
          <w:sz w:val="24"/>
          <w:szCs w:val="24"/>
          <w:highlight w:val="none"/>
        </w:rPr>
        <w:t xml:space="preserve">1.提交投标文件截止时间、开标时间：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25</w:t>
      </w:r>
      <w:r>
        <w:rPr>
          <w:rFonts w:hint="eastAsia" w:ascii="宋体" w:hAnsi="宋体" w:eastAsia="宋体" w:cs="宋体"/>
          <w:bCs/>
          <w:sz w:val="24"/>
          <w:szCs w:val="24"/>
          <w:highlight w:val="none"/>
          <w:u w:val="single"/>
        </w:rPr>
        <w:t xml:space="preserve">日上午</w:t>
      </w:r>
      <w:r>
        <w:rPr>
          <w:rFonts w:hint="eastAsia" w:ascii="宋体" w:hAnsi="宋体" w:eastAsia="宋体" w:cs="宋体"/>
          <w:bCs/>
          <w:sz w:val="24"/>
          <w:szCs w:val="24"/>
          <w:highlight w:val="none"/>
          <w:u w:val="single"/>
          <w:lang w:val="en-US" w:eastAsia="zh-CN"/>
        </w:rPr>
        <w:t xml:space="preserve">09</w:t>
      </w:r>
      <w:r>
        <w:rPr>
          <w:rFonts w:hint="eastAsia" w:ascii="宋体" w:hAnsi="宋体" w:eastAsia="宋体" w:cs="宋体"/>
          <w:bCs/>
          <w:sz w:val="24"/>
          <w:szCs w:val="24"/>
          <w:highlight w:val="none"/>
          <w:u w:val="single"/>
        </w:rPr>
        <w:t xml:space="preserve">点</w:t>
      </w:r>
      <w:r>
        <w:rPr>
          <w:rFonts w:hint="eastAsia" w:ascii="宋体" w:hAnsi="宋体" w:eastAsia="宋体" w:cs="宋体"/>
          <w:bCs/>
          <w:sz w:val="24"/>
          <w:szCs w:val="24"/>
          <w:highlight w:val="none"/>
          <w:u w:val="single"/>
          <w:lang w:val="en-US" w:eastAsia="zh-CN"/>
        </w:rPr>
        <w:t xml:space="preserve">30</w:t>
      </w:r>
      <w:r>
        <w:rPr>
          <w:rFonts w:hint="eastAsia" w:ascii="宋体" w:hAnsi="宋体" w:eastAsia="宋体" w:cs="宋体"/>
          <w:bCs/>
          <w:sz w:val="24"/>
          <w:szCs w:val="24"/>
          <w:highlight w:val="none"/>
          <w:u w:val="single"/>
        </w:rPr>
        <w:t xml:space="preserve">分</w:t>
      </w:r>
      <w:r>
        <w:rPr>
          <w:rFonts w:hint="eastAsia" w:ascii="宋体" w:hAnsi="宋体" w:eastAsia="宋体" w:cs="宋体"/>
          <w:sz w:val="24"/>
          <w:szCs w:val="24"/>
          <w:highlight w:val="none"/>
        </w:rPr>
        <w:t xml:space="preserve">（北京时间），逾时，系统将拒绝接受上传投标文件电子文档。</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2.地点：“苏采云”政府采购一体化平台。</w:t>
      </w:r>
      <w:r/>
    </w:p>
    <w:p>
      <w:pPr>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五、公告期限</w:t>
      </w:r>
      <w:bookmarkEnd w:id="28"/>
      <w:r/>
      <w:bookmarkEnd w:id="29"/>
      <w:r/>
      <w:bookmarkEnd w:id="30"/>
      <w:r/>
      <w:bookmarkEnd w:id="31"/>
      <w:r/>
      <w:bookmarkEnd w:id="32"/>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33" w:name="_Toc35393626"/>
      <w:r/>
      <w:bookmarkStart w:id="34" w:name="_Toc38985268"/>
      <w:r/>
      <w:bookmarkStart w:id="35" w:name="_Toc35393795"/>
      <w:r>
        <w:rPr>
          <w:rFonts w:hint="eastAsia" w:ascii="宋体" w:hAnsi="宋体" w:eastAsia="宋体" w:cs="宋体"/>
          <w:sz w:val="24"/>
          <w:szCs w:val="24"/>
          <w:highlight w:val="none"/>
        </w:rPr>
        <w:t xml:space="preserve">自本公告发布之日起5个工作日。</w:t>
      </w:r>
      <w:r/>
    </w:p>
    <w:p>
      <w:pPr>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六、其他补充事宜</w:t>
      </w:r>
      <w:bookmarkEnd w:id="33"/>
      <w:r/>
      <w:bookmarkEnd w:id="34"/>
      <w:r/>
      <w:bookmarkEnd w:id="35"/>
      <w:r/>
      <w:bookmarkStart w:id="226" w:name="_GoBack"/>
      <w:r/>
      <w:bookmarkEnd w:id="226"/>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1.项目开标活动模式：不见面远程开标模式</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4.开标当天投标人应及时登录“苏采云</w:t>
      </w:r>
      <w:r>
        <w:rPr>
          <w:rFonts w:hint="eastAsia" w:ascii="宋体" w:hAnsi="宋体" w:eastAsia="宋体" w:cs="宋体"/>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bookmarkStart w:id="36" w:name="_Toc38985269"/>
      <w:r/>
      <w:bookmarkStart w:id="37" w:name="_Toc28359085"/>
      <w:r/>
      <w:bookmarkStart w:id="38" w:name="_Toc28359008"/>
      <w:r/>
      <w:bookmarkStart w:id="39" w:name="_Toc35393796"/>
      <w:r/>
      <w:bookmarkStart w:id="40" w:name="_Toc35393627"/>
      <w:r>
        <w:rPr>
          <w:rFonts w:hint="eastAsia" w:ascii="宋体" w:hAnsi="宋体" w:eastAsia="宋体" w:cs="宋体"/>
          <w:b/>
          <w:bCs/>
          <w:sz w:val="28"/>
          <w:szCs w:val="28"/>
          <w:highlight w:val="none"/>
        </w:rPr>
        <w:t xml:space="preserve">七、</w:t>
      </w:r>
      <w:bookmarkEnd w:id="36"/>
      <w:r/>
      <w:bookmarkEnd w:id="37"/>
      <w:r/>
      <w:bookmarkEnd w:id="38"/>
      <w:r/>
      <w:bookmarkEnd w:id="39"/>
      <w:r/>
      <w:bookmarkEnd w:id="40"/>
      <w:r>
        <w:rPr>
          <w:rFonts w:hint="eastAsia" w:ascii="宋体" w:hAnsi="宋体" w:eastAsia="宋体" w:cs="宋体"/>
          <w:b/>
          <w:bCs/>
          <w:sz w:val="28"/>
          <w:szCs w:val="28"/>
          <w:highlight w:val="none"/>
        </w:rPr>
        <w:t xml:space="preserve">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41" w:name="_Toc28359087"/>
      <w:r/>
      <w:bookmarkStart w:id="42" w:name="_Toc28359010"/>
      <w:r>
        <w:rPr>
          <w:rFonts w:hint="eastAsia" w:ascii="宋体" w:hAnsi="宋体" w:eastAsia="宋体" w:cs="宋体"/>
          <w:sz w:val="24"/>
          <w:szCs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如东县洋口镇人民政府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如东县洋口镇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联系人：缪晓伟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highlight w:val="none"/>
          <w:lang w:val="en-US" w:eastAsia="zh-CN"/>
        </w:rPr>
        <w:t xml:space="preserve">13862473570</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color w:val="auto"/>
          <w:sz w:val="24"/>
          <w:szCs w:val="24"/>
          <w:highlight w:val="none"/>
        </w:rPr>
        <w:t xml:space="preserve">江苏建达全过程工程咨询有限公司</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color w:val="auto"/>
          <w:sz w:val="24"/>
          <w:szCs w:val="24"/>
          <w:highlight w:val="none"/>
        </w:rPr>
        <w:t xml:space="preserve">海安市城东镇宁海南路195号501室</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eastAsia="宋体" w:cs="宋体"/>
          <w:color w:val="auto"/>
          <w:sz w:val="24"/>
          <w:szCs w:val="24"/>
          <w:highlight w:val="none"/>
        </w:rPr>
        <w:t xml:space="preserve">耿工 </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color w:val="auto"/>
          <w:sz w:val="24"/>
          <w:szCs w:val="24"/>
          <w:highlight w:val="none"/>
        </w:rPr>
        <w:t xml:space="preserve">19895916002/18761700616</w:t>
      </w:r>
      <w:bookmarkEnd w:id="41"/>
      <w:bookmarkEnd w:id="42"/>
      <w:r/>
    </w:p>
    <w:p>
      <w:pPr>
        <w:ind w:firstLine="562"/>
        <w:jc w:val="left"/>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八、其他</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根据省财政厅《关于更换全省政府采购交易系统CA数字证书和电子签章的通知》（苏财购〔2023〕101号）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领取CA和办理电子签章请至南通市政务服务中心裙楼四楼CA办理窗口办理，详见《江苏省政府采购数字证书(供应商)CA及电子签章办理指南》），请及时进行注册并按要求制作、上传电子投标文件。</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2.有关本次招标的事项若存在变动或修改，敬请及时关注如东县公共资源代理机构在“江苏政府采购网”发布的更正公告。</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3.本次招标不收取投标保证金。</w:t>
      </w:r>
      <w:r/>
    </w:p>
    <w:p>
      <w:pPr>
        <w:ind w:right="840"/>
        <w:rPr>
          <w:rFonts w:hint="eastAsia" w:ascii="宋体" w:hAnsi="宋体" w:eastAsia="宋体" w:cs="宋体"/>
          <w:highlight w:val="none"/>
        </w:rPr>
      </w:pPr>
      <w:r/>
      <w:bookmarkStart w:id="43" w:name="_Toc120614211"/>
      <w:r/>
      <w:r/>
    </w:p>
    <w:p>
      <w:pPr>
        <w:ind w:right="840"/>
        <w:jc w:val="center"/>
        <w:rPr>
          <w:rFonts w:hint="eastAsia" w:ascii="宋体" w:hAnsi="宋体" w:eastAsia="宋体" w:cs="宋体"/>
          <w:b/>
          <w:bCs/>
          <w:sz w:val="44"/>
          <w:szCs w:val="44"/>
          <w:highlight w:val="none"/>
        </w:rPr>
        <w:outlineLvl w:val="0"/>
      </w:pPr>
      <w:r/>
      <w:bookmarkStart w:id="44" w:name="_Toc186493268"/>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b/>
          <w:bCs/>
          <w:sz w:val="44"/>
          <w:szCs w:val="44"/>
          <w:highlight w:val="none"/>
        </w:rPr>
        <w:outlineLvl w:val="0"/>
      </w:pPr>
      <w:r>
        <w:rPr>
          <w:rFonts w:hint="eastAsia" w:ascii="宋体" w:hAnsi="宋体" w:eastAsia="宋体" w:cs="宋体"/>
          <w:b/>
          <w:bCs/>
          <w:sz w:val="44"/>
          <w:szCs w:val="44"/>
          <w:highlight w:val="none"/>
        </w:rPr>
      </w:r>
      <w:r/>
    </w:p>
    <w:p>
      <w:pPr>
        <w:ind w:right="840"/>
        <w:jc w:val="center"/>
        <w:rPr>
          <w:rFonts w:hint="eastAsia" w:ascii="宋体" w:hAnsi="宋体" w:eastAsia="宋体" w:cs="宋体"/>
          <w:highlight w:val="none"/>
        </w:rPr>
        <w:outlineLvl w:val="0"/>
      </w:pPr>
      <w:r>
        <w:rPr>
          <w:rFonts w:hint="eastAsia" w:ascii="宋体" w:hAnsi="宋体" w:eastAsia="宋体" w:cs="宋体"/>
          <w:b/>
          <w:bCs/>
          <w:sz w:val="44"/>
          <w:szCs w:val="44"/>
          <w:highlight w:val="none"/>
        </w:rPr>
        <w:t xml:space="preserve">第二章  </w:t>
      </w:r>
      <w:bookmarkEnd w:id="1"/>
      <w:r/>
      <w:bookmarkEnd w:id="2"/>
      <w:r/>
      <w:bookmarkEnd w:id="3"/>
      <w:r/>
      <w:bookmarkEnd w:id="4"/>
      <w:r/>
      <w:bookmarkEnd w:id="5"/>
      <w:r/>
      <w:bookmarkEnd w:id="43"/>
      <w:r/>
      <w:bookmarkStart w:id="45" w:name="_Toc20823274"/>
      <w:r/>
      <w:bookmarkStart w:id="46" w:name="_Toc513029202"/>
      <w:r/>
      <w:bookmarkStart w:id="47" w:name="_Toc120614213"/>
      <w:r/>
      <w:bookmarkStart w:id="48" w:name="_Toc16938518"/>
      <w:r>
        <w:rPr>
          <w:rFonts w:hint="eastAsia" w:ascii="宋体" w:hAnsi="宋体" w:eastAsia="宋体" w:cs="宋体"/>
          <w:b/>
          <w:bCs/>
          <w:sz w:val="44"/>
          <w:szCs w:val="44"/>
          <w:highlight w:val="none"/>
        </w:rPr>
        <w:t xml:space="preserve">投标人须知</w:t>
      </w:r>
      <w:bookmarkEnd w:id="44"/>
      <w:r/>
      <w:bookmarkEnd w:id="45"/>
      <w:r/>
      <w:bookmarkEnd w:id="46"/>
      <w:r/>
      <w:bookmarkEnd w:id="47"/>
      <w:r/>
      <w:bookmarkEnd w:id="48"/>
      <w:r/>
      <w:r/>
    </w:p>
    <w:p>
      <w:pPr>
        <w:ind w:firstLine="321"/>
        <w:keepLines/>
        <w:keepNext/>
        <w:spacing w:line="360" w:lineRule="auto"/>
        <w:rPr>
          <w:rFonts w:hint="eastAsia" w:ascii="宋体" w:hAnsi="宋体" w:eastAsia="宋体" w:cs="宋体"/>
          <w:b/>
          <w:bCs/>
          <w:sz w:val="32"/>
          <w:szCs w:val="32"/>
          <w:highlight w:val="none"/>
        </w:rPr>
        <w:outlineLvl w:val="1"/>
      </w:pPr>
      <w:r/>
      <w:bookmarkStart w:id="49" w:name="_Toc120614214"/>
      <w:r/>
      <w:bookmarkStart w:id="50" w:name="_Toc20823275"/>
      <w:r/>
      <w:bookmarkStart w:id="51" w:name="_Toc513029203"/>
      <w:r/>
      <w:bookmarkStart w:id="52" w:name="_Toc16938519"/>
      <w:r>
        <w:rPr>
          <w:rFonts w:hint="eastAsia" w:ascii="宋体" w:hAnsi="宋体" w:eastAsia="宋体" w:cs="宋体"/>
          <w:b/>
          <w:bCs/>
          <w:sz w:val="32"/>
          <w:szCs w:val="32"/>
          <w:highlight w:val="none"/>
        </w:rPr>
        <w:t xml:space="preserve">一、总则</w:t>
      </w:r>
      <w:bookmarkEnd w:id="49"/>
      <w:r/>
      <w:bookmarkEnd w:id="50"/>
      <w:r/>
      <w:bookmarkEnd w:id="51"/>
      <w:r/>
      <w:bookmarkEnd w:id="52"/>
      <w:r/>
      <w:r/>
    </w:p>
    <w:p>
      <w:pPr>
        <w:ind w:firstLine="422"/>
        <w:keepLines/>
        <w:keepNext/>
        <w:spacing w:line="360" w:lineRule="auto"/>
        <w:rPr>
          <w:rFonts w:hint="eastAsia" w:ascii="宋体" w:hAnsi="宋体" w:eastAsia="宋体" w:cs="宋体"/>
          <w:b/>
          <w:bCs/>
          <w:sz w:val="28"/>
          <w:szCs w:val="28"/>
          <w:highlight w:val="none"/>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eastAsia="宋体" w:cs="宋体"/>
          <w:b/>
          <w:bCs/>
          <w:sz w:val="28"/>
          <w:szCs w:val="28"/>
          <w:highlight w:val="none"/>
        </w:rPr>
        <w:t xml:space="preserve">1</w:t>
      </w:r>
      <w:bookmarkEnd w:id="54"/>
      <w:r>
        <w:rPr>
          <w:rFonts w:hint="eastAsia" w:ascii="宋体" w:hAnsi="宋体" w:eastAsia="宋体" w:cs="宋体"/>
          <w:b/>
          <w:bCs/>
          <w:sz w:val="28"/>
          <w:szCs w:val="28"/>
          <w:highlight w:val="none"/>
        </w:rPr>
        <w:t xml:space="preserve">、招标方式</w:t>
      </w:r>
      <w:bookmarkEnd w:id="55"/>
      <w:r/>
      <w:bookmarkEnd w:id="56"/>
      <w:r/>
      <w:bookmarkEnd w:id="57"/>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本次招标采取公开招标方式，本招标文件仅适用于招标公告中所述项目。</w:t>
      </w:r>
      <w:r/>
    </w:p>
    <w:p>
      <w:pPr>
        <w:ind w:firstLine="422"/>
        <w:keepLines/>
        <w:keepNext/>
        <w:spacing w:line="360" w:lineRule="auto"/>
        <w:rPr>
          <w:rFonts w:hint="eastAsia" w:ascii="宋体" w:hAnsi="宋体" w:eastAsia="宋体" w:cs="宋体"/>
          <w:b/>
          <w:bCs/>
          <w:sz w:val="28"/>
          <w:szCs w:val="28"/>
          <w:highlight w:val="none"/>
        </w:rPr>
      </w:pPr>
      <w:r/>
      <w:bookmarkStart w:id="58" w:name="_Toc513029205"/>
      <w:r/>
      <w:bookmarkStart w:id="59" w:name="_Toc20823277"/>
      <w:r/>
      <w:bookmarkStart w:id="60" w:name="_Toc16938521"/>
      <w:r>
        <w:rPr>
          <w:rFonts w:hint="eastAsia" w:ascii="宋体" w:hAnsi="宋体" w:eastAsia="宋体" w:cs="宋体"/>
          <w:b/>
          <w:bCs/>
          <w:sz w:val="28"/>
          <w:szCs w:val="28"/>
          <w:highlight w:val="none"/>
        </w:rPr>
        <w:t xml:space="preserve">2、合格的投标人</w:t>
      </w:r>
      <w:bookmarkEnd w:id="58"/>
      <w:r/>
      <w:bookmarkEnd w:id="59"/>
      <w:r/>
      <w:bookmarkEnd w:id="6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2.1满足招标公告中供应商的资格要求的规定。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满足本文件实质性要求的规定。</w:t>
      </w:r>
      <w:r/>
    </w:p>
    <w:p>
      <w:pPr>
        <w:ind w:firstLine="422"/>
        <w:keepLines/>
        <w:keepNext/>
        <w:spacing w:line="360" w:lineRule="auto"/>
        <w:rPr>
          <w:rFonts w:hint="eastAsia" w:ascii="宋体" w:hAnsi="宋体" w:eastAsia="宋体" w:cs="宋体"/>
          <w:b/>
          <w:bCs/>
          <w:sz w:val="28"/>
          <w:szCs w:val="28"/>
          <w:highlight w:val="none"/>
        </w:rPr>
      </w:pPr>
      <w:r/>
      <w:bookmarkStart w:id="61" w:name="_Toc513029206"/>
      <w:r/>
      <w:bookmarkStart w:id="62" w:name="_Toc16938522"/>
      <w:r/>
      <w:bookmarkStart w:id="63" w:name="_Toc20823278"/>
      <w:r>
        <w:rPr>
          <w:rFonts w:hint="eastAsia" w:ascii="宋体" w:hAnsi="宋体" w:eastAsia="宋体" w:cs="宋体"/>
          <w:b/>
          <w:bCs/>
          <w:sz w:val="28"/>
          <w:szCs w:val="28"/>
          <w:highlight w:val="none"/>
        </w:rPr>
        <w:t xml:space="preserve">3、适用法律</w:t>
      </w:r>
      <w:bookmarkEnd w:id="61"/>
      <w:r/>
      <w:bookmarkEnd w:id="62"/>
      <w:r/>
      <w:bookmarkEnd w:id="63"/>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4、招标文件的约束力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321"/>
        <w:keepLines/>
        <w:keepNext/>
        <w:spacing w:line="360" w:lineRule="auto"/>
        <w:rPr>
          <w:rFonts w:hint="eastAsia" w:ascii="宋体" w:hAnsi="宋体" w:eastAsia="宋体" w:cs="宋体"/>
          <w:b/>
          <w:bCs/>
          <w:sz w:val="32"/>
          <w:szCs w:val="32"/>
          <w:highlight w:val="none"/>
        </w:rPr>
        <w:outlineLvl w:val="1"/>
      </w:pPr>
      <w:r/>
      <w:bookmarkStart w:id="64" w:name="_Toc20823281"/>
      <w:r/>
      <w:bookmarkStart w:id="65" w:name="_Toc16938525"/>
      <w:r/>
      <w:bookmarkStart w:id="66" w:name="_Toc513029209"/>
      <w:r/>
      <w:bookmarkStart w:id="67" w:name="_Toc120614215"/>
      <w:r>
        <w:rPr>
          <w:rFonts w:hint="eastAsia" w:ascii="宋体" w:hAnsi="宋体" w:eastAsia="宋体" w:cs="宋体"/>
          <w:b/>
          <w:bCs/>
          <w:sz w:val="32"/>
          <w:szCs w:val="32"/>
          <w:highlight w:val="none"/>
        </w:rPr>
        <w:t xml:space="preserve">二、招标文件</w:t>
      </w:r>
      <w:bookmarkEnd w:id="64"/>
      <w:r/>
      <w:bookmarkEnd w:id="65"/>
      <w:r/>
      <w:bookmarkEnd w:id="66"/>
      <w:r/>
      <w:bookmarkEnd w:id="67"/>
      <w:r/>
      <w:r/>
    </w:p>
    <w:p>
      <w:pPr>
        <w:ind w:firstLine="422"/>
        <w:keepLines/>
        <w:keepNext/>
        <w:spacing w:line="360" w:lineRule="auto"/>
        <w:rPr>
          <w:rFonts w:hint="eastAsia" w:ascii="宋体" w:hAnsi="宋体" w:eastAsia="宋体" w:cs="宋体"/>
          <w:b/>
          <w:bCs/>
          <w:sz w:val="28"/>
          <w:szCs w:val="28"/>
          <w:highlight w:val="none"/>
        </w:rPr>
      </w:pPr>
      <w:r/>
      <w:bookmarkStart w:id="68" w:name="_Toc16938526"/>
      <w:r/>
      <w:bookmarkStart w:id="69" w:name="_Toc20823282"/>
      <w:r/>
      <w:bookmarkStart w:id="70" w:name="_Toc513029210"/>
      <w:r>
        <w:rPr>
          <w:rFonts w:hint="eastAsia" w:ascii="宋体" w:hAnsi="宋体" w:eastAsia="宋体" w:cs="宋体"/>
          <w:b/>
          <w:bCs/>
          <w:sz w:val="28"/>
          <w:szCs w:val="28"/>
          <w:highlight w:val="none"/>
        </w:rPr>
        <w:t xml:space="preserve">6、招标文件构成</w:t>
      </w:r>
      <w:bookmarkEnd w:id="68"/>
      <w:r/>
      <w:bookmarkEnd w:id="69"/>
      <w:r/>
      <w:bookmarkEnd w:id="70"/>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6.1 招标文件由以下部分组成：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（1）投标邀请</w:t>
      </w:r>
      <w:r/>
    </w:p>
    <w:p>
      <w:pPr>
        <w:ind w:firstLine="480"/>
        <w:spacing w:line="360" w:lineRule="auto"/>
        <w:tabs>
          <w:tab w:val="center" w:pos="447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（2）投标人须知</w:t>
      </w:r>
      <w:r>
        <w:rPr>
          <w:rFonts w:hint="eastAsia" w:ascii="宋体" w:hAnsi="宋体" w:eastAsia="宋体" w:cs="宋体"/>
          <w:bCs/>
          <w:sz w:val="24"/>
          <w:highlight w:val="none"/>
        </w:rPr>
        <w:tab/>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（3）合同文本</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（4）采购需求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（5）评标方法与评标标准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请仔细检查招标文件是否齐全，如有缺漏请立即与代理机构联系解决。</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6.2</w:t>
      </w:r>
      <w:r>
        <w:rPr>
          <w:rFonts w:hint="eastAsia" w:ascii="宋体" w:hAnsi="宋体" w:eastAsia="宋体" w:cs="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spacing w:line="360" w:lineRule="auto"/>
        <w:rPr>
          <w:rFonts w:hint="eastAsia" w:ascii="宋体" w:hAnsi="宋体" w:eastAsia="宋体" w:cs="宋体"/>
          <w:b/>
          <w:bCs/>
          <w:sz w:val="28"/>
          <w:szCs w:val="28"/>
          <w:highlight w:val="none"/>
        </w:rPr>
      </w:pPr>
      <w:r/>
      <w:bookmarkStart w:id="71" w:name="_Toc16938527"/>
      <w:r/>
      <w:bookmarkStart w:id="72" w:name="_Toc462564070"/>
      <w:r/>
      <w:bookmarkStart w:id="73" w:name="_Toc513029211"/>
      <w:r/>
      <w:bookmarkStart w:id="74" w:name="_Toc20823283"/>
      <w:r>
        <w:rPr>
          <w:rFonts w:hint="eastAsia" w:ascii="宋体" w:hAnsi="宋体" w:eastAsia="宋体" w:cs="宋体"/>
          <w:b/>
          <w:bCs/>
          <w:sz w:val="28"/>
          <w:szCs w:val="28"/>
          <w:highlight w:val="none"/>
        </w:rPr>
        <w:t xml:space="preserve">7、招标文件的澄清</w:t>
      </w:r>
      <w:bookmarkEnd w:id="71"/>
      <w:r/>
      <w:bookmarkEnd w:id="72"/>
      <w:r/>
      <w:bookmarkEnd w:id="73"/>
      <w:r/>
      <w:bookmarkEnd w:id="74"/>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7.2采购人视情况组织答疑会。</w:t>
      </w:r>
      <w:r/>
    </w:p>
    <w:p>
      <w:pPr>
        <w:ind w:firstLine="422"/>
        <w:keepLines/>
        <w:keepNext/>
        <w:spacing w:line="360" w:lineRule="auto"/>
        <w:rPr>
          <w:rFonts w:hint="eastAsia" w:ascii="宋体" w:hAnsi="宋体" w:eastAsia="宋体" w:cs="宋体"/>
          <w:b/>
          <w:bCs/>
          <w:sz w:val="28"/>
          <w:szCs w:val="28"/>
          <w:highlight w:val="none"/>
        </w:rPr>
      </w:pPr>
      <w:r/>
      <w:bookmarkStart w:id="75" w:name="_Toc513029212"/>
      <w:r/>
      <w:bookmarkStart w:id="76" w:name="_Toc20823284"/>
      <w:r/>
      <w:bookmarkStart w:id="77" w:name="_Toc16938528"/>
      <w:r/>
      <w:bookmarkStart w:id="78" w:name="_Toc462564071"/>
      <w:r>
        <w:rPr>
          <w:rFonts w:hint="eastAsia" w:ascii="宋体" w:hAnsi="宋体" w:eastAsia="宋体" w:cs="宋体"/>
          <w:b/>
          <w:bCs/>
          <w:sz w:val="28"/>
          <w:szCs w:val="28"/>
          <w:highlight w:val="none"/>
        </w:rPr>
        <w:t xml:space="preserve">8、招标文件的修改</w:t>
      </w:r>
      <w:bookmarkEnd w:id="75"/>
      <w:r/>
      <w:bookmarkEnd w:id="76"/>
      <w:r/>
      <w:bookmarkEnd w:id="77"/>
      <w:r/>
      <w:bookmarkEnd w:id="78"/>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8.1</w:t>
      </w:r>
      <w:r>
        <w:rPr>
          <w:rFonts w:hint="eastAsia" w:ascii="宋体" w:hAnsi="宋体" w:eastAsia="宋体" w:cs="宋体"/>
          <w:sz w:val="24"/>
          <w:highlight w:val="none"/>
        </w:rPr>
        <w:t xml:space="preserve"> 在投标截止时间前，代理机构可以对招标文件进行修改。</w:t>
      </w:r>
      <w:r/>
    </w:p>
    <w:p>
      <w:pPr>
        <w:ind w:firstLine="480"/>
        <w:spacing w:line="360" w:lineRule="auto"/>
        <w:rPr>
          <w:rFonts w:hint="eastAsia" w:ascii="宋体" w:hAnsi="宋体" w:eastAsia="宋体" w:cs="宋体"/>
          <w:sz w:val="28"/>
          <w:highlight w:val="none"/>
        </w:rPr>
      </w:pPr>
      <w:r>
        <w:rPr>
          <w:rFonts w:hint="eastAsia" w:ascii="宋体" w:hAnsi="宋体" w:eastAsia="宋体" w:cs="宋体"/>
          <w:bCs/>
          <w:sz w:val="24"/>
          <w:highlight w:val="none"/>
        </w:rPr>
        <w:t xml:space="preserve">8.2 </w:t>
      </w:r>
      <w:r>
        <w:rPr>
          <w:rFonts w:hint="eastAsia" w:ascii="宋体" w:hAnsi="宋体" w:eastAsia="宋体" w:cs="宋体"/>
          <w:sz w:val="24"/>
          <w:highlight w:val="none"/>
        </w:rPr>
        <w:t xml:space="preserve">代理机构</w:t>
      </w:r>
      <w:r>
        <w:rPr>
          <w:rFonts w:hint="eastAsia" w:ascii="宋体" w:hAnsi="宋体" w:eastAsia="宋体" w:cs="宋体"/>
          <w:sz w:val="24"/>
          <w:szCs w:val="24"/>
          <w:highlight w:val="none"/>
        </w:rPr>
        <w:t xml:space="preserve">有权按照法定的要求</w:t>
      </w:r>
      <w:r>
        <w:rPr>
          <w:rFonts w:hint="eastAsia" w:ascii="宋体" w:hAnsi="宋体" w:eastAsia="宋体" w:cs="宋体"/>
          <w:sz w:val="24"/>
          <w:highlight w:val="none"/>
        </w:rPr>
        <w:t xml:space="preserve">推迟投标截止日期和开标日期。</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8.3 </w:t>
      </w:r>
      <w:r>
        <w:rPr>
          <w:rFonts w:hint="eastAsia" w:ascii="宋体" w:hAnsi="宋体" w:eastAsia="宋体" w:cs="宋体"/>
          <w:sz w:val="24"/>
          <w:highlight w:val="none"/>
        </w:rPr>
        <w:t xml:space="preserve">招标文件的修改将在江苏政府采购网公布，</w:t>
      </w:r>
      <w:r>
        <w:rPr>
          <w:rFonts w:hint="eastAsia" w:ascii="宋体" w:hAnsi="宋体" w:eastAsia="宋体" w:cs="宋体"/>
          <w:sz w:val="24"/>
          <w:szCs w:val="24"/>
          <w:highlight w:val="none"/>
        </w:rPr>
        <w:t xml:space="preserve">补充文件将作为招标文件的组成部分，</w:t>
      </w:r>
      <w:r>
        <w:rPr>
          <w:rFonts w:hint="eastAsia" w:ascii="宋体" w:hAnsi="宋体" w:eastAsia="宋体" w:cs="宋体"/>
          <w:sz w:val="24"/>
          <w:highlight w:val="none"/>
        </w:rPr>
        <w:t xml:space="preserve">并对投标人具有约束力。</w:t>
      </w:r>
      <w:r/>
    </w:p>
    <w:p>
      <w:pPr>
        <w:keepLines/>
        <w:keepNext/>
        <w:spacing w:line="360" w:lineRule="auto"/>
        <w:rPr>
          <w:rFonts w:hint="eastAsia" w:ascii="宋体" w:hAnsi="宋体" w:eastAsia="宋体" w:cs="宋体"/>
          <w:b/>
          <w:bCs/>
          <w:sz w:val="32"/>
          <w:szCs w:val="32"/>
          <w:highlight w:val="none"/>
        </w:rPr>
        <w:outlineLvl w:val="1"/>
      </w:pPr>
      <w:r/>
      <w:bookmarkStart w:id="79" w:name="_Toc462564072"/>
      <w:r/>
      <w:bookmarkStart w:id="80" w:name="_Toc20823285"/>
      <w:r/>
      <w:bookmarkStart w:id="81" w:name="_Toc16938529"/>
      <w:r/>
      <w:bookmarkStart w:id="82" w:name="_Toc120614216"/>
      <w:r/>
      <w:bookmarkStart w:id="83" w:name="_Toc513029213"/>
      <w:r>
        <w:rPr>
          <w:rFonts w:hint="eastAsia" w:ascii="宋体" w:hAnsi="宋体" w:eastAsia="宋体" w:cs="宋体"/>
          <w:b/>
          <w:bCs/>
          <w:sz w:val="32"/>
          <w:szCs w:val="32"/>
          <w:highlight w:val="none"/>
        </w:rPr>
        <w:t xml:space="preserve">三、投标文件的编制</w:t>
      </w:r>
      <w:bookmarkEnd w:id="79"/>
      <w:r/>
      <w:bookmarkEnd w:id="80"/>
      <w:r/>
      <w:bookmarkEnd w:id="81"/>
      <w:r/>
      <w:bookmarkEnd w:id="82"/>
      <w:r/>
      <w:bookmarkEnd w:id="83"/>
      <w:r/>
      <w:r/>
    </w:p>
    <w:p>
      <w:pPr>
        <w:ind w:firstLine="422"/>
        <w:keepLines/>
        <w:keepNext/>
        <w:spacing w:line="360" w:lineRule="auto"/>
        <w:rPr>
          <w:rFonts w:hint="eastAsia" w:ascii="宋体" w:hAnsi="宋体" w:eastAsia="宋体" w:cs="宋体"/>
          <w:b/>
          <w:bCs/>
          <w:sz w:val="28"/>
          <w:szCs w:val="28"/>
          <w:highlight w:val="none"/>
        </w:rPr>
      </w:pPr>
      <w:r/>
      <w:bookmarkStart w:id="84" w:name="_Toc20823286"/>
      <w:r/>
      <w:bookmarkStart w:id="85" w:name="_Toc16938530"/>
      <w:r/>
      <w:bookmarkStart w:id="86" w:name="_Toc462564073"/>
      <w:r/>
      <w:bookmarkStart w:id="87" w:name="_Toc513029214"/>
      <w:r>
        <w:rPr>
          <w:rFonts w:hint="eastAsia" w:ascii="宋体" w:hAnsi="宋体" w:eastAsia="宋体" w:cs="宋体"/>
          <w:b/>
          <w:bCs/>
          <w:sz w:val="28"/>
          <w:szCs w:val="28"/>
          <w:highlight w:val="none"/>
        </w:rPr>
        <w:t xml:space="preserve">9、投标文件的语言及度量衡单位</w:t>
      </w:r>
      <w:bookmarkEnd w:id="84"/>
      <w:r/>
      <w:bookmarkEnd w:id="85"/>
      <w:r/>
      <w:bookmarkEnd w:id="86"/>
      <w:r/>
      <w:bookmarkEnd w:id="87"/>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投标人提交的投标文件以及投标人与代理机构就有关投标的所有来往通知、函件和文件均应使用</w:t>
      </w:r>
      <w:r>
        <w:rPr>
          <w:rFonts w:hint="eastAsia" w:ascii="宋体" w:hAnsi="宋体" w:eastAsia="宋体" w:cs="宋体"/>
          <w:b/>
          <w:bCs/>
          <w:sz w:val="24"/>
          <w:highlight w:val="none"/>
        </w:rPr>
        <w:t xml:space="preserve">简体中文</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 除技术性能另有规定外，投标文件所使用的度量衡单位，均须采用国家法定计量单位。</w:t>
      </w:r>
      <w:r/>
    </w:p>
    <w:p>
      <w:pPr>
        <w:ind w:firstLine="422"/>
        <w:keepLines/>
        <w:keepNext/>
        <w:spacing w:line="360" w:lineRule="auto"/>
        <w:rPr>
          <w:rFonts w:hint="eastAsia" w:ascii="宋体" w:hAnsi="宋体" w:eastAsia="宋体" w:cs="宋体"/>
          <w:b/>
          <w:bCs/>
          <w:sz w:val="28"/>
          <w:szCs w:val="28"/>
          <w:highlight w:val="none"/>
        </w:rPr>
      </w:pPr>
      <w:r/>
      <w:bookmarkStart w:id="88" w:name="_Toc513029215"/>
      <w:r/>
      <w:bookmarkStart w:id="89" w:name="_Toc16938531"/>
      <w:r/>
      <w:bookmarkStart w:id="90" w:name="_Toc20823287"/>
      <w:r/>
      <w:bookmarkStart w:id="91" w:name="_Toc462564074"/>
      <w:r>
        <w:rPr>
          <w:rFonts w:hint="eastAsia" w:ascii="宋体" w:hAnsi="宋体" w:eastAsia="宋体" w:cs="宋体"/>
          <w:b/>
          <w:bCs/>
          <w:sz w:val="28"/>
          <w:szCs w:val="28"/>
          <w:highlight w:val="none"/>
        </w:rPr>
        <w:t xml:space="preserve">10、投标文件构成</w:t>
      </w:r>
      <w:bookmarkEnd w:id="88"/>
      <w:r/>
      <w:bookmarkEnd w:id="89"/>
      <w:r/>
      <w:bookmarkEnd w:id="90"/>
      <w:r/>
      <w:bookmarkEnd w:id="91"/>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10.1投标人编写的投标文件应包括资格证明文件、实质性要求响应及偏离表、投标分项报价表、技术要求响应及偏离表、商务要求响应及偏离表、其他证明文件、投标函、开标一览表等部分。请按“第六章  投标文件格式”要求编写投标文件。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10.2 如标书制作工具中格式和内容与“江苏政府采购网”发布的招标文件不一致，请以“江苏政府采购网”发布的招标文件为准。</w:t>
      </w:r>
      <w:r/>
    </w:p>
    <w:p>
      <w:pPr>
        <w:ind w:firstLine="422"/>
        <w:keepLines/>
        <w:keepNext/>
        <w:spacing w:line="360" w:lineRule="auto"/>
        <w:rPr>
          <w:rFonts w:hint="eastAsia" w:ascii="宋体" w:hAnsi="宋体" w:eastAsia="宋体" w:cs="宋体"/>
          <w:b/>
          <w:bCs/>
          <w:sz w:val="28"/>
          <w:szCs w:val="28"/>
          <w:highlight w:val="none"/>
        </w:rPr>
      </w:pPr>
      <w:r/>
      <w:bookmarkStart w:id="92" w:name="_Hlt26670360"/>
      <w:r/>
      <w:bookmarkEnd w:id="92"/>
      <w:r/>
      <w:bookmarkStart w:id="93" w:name="_Hlt26668975"/>
      <w:r/>
      <w:bookmarkEnd w:id="93"/>
      <w:r/>
      <w:bookmarkStart w:id="94" w:name="_Hlt26954838"/>
      <w:r/>
      <w:bookmarkEnd w:id="94"/>
      <w:r/>
      <w:bookmarkStart w:id="95" w:name="_Toc49090509"/>
      <w:r/>
      <w:bookmarkStart w:id="96" w:name="_Toc513029219"/>
      <w:r/>
      <w:bookmarkStart w:id="97" w:name="_Toc49090507"/>
      <w:r/>
      <w:bookmarkStart w:id="98" w:name="_Toc14577354"/>
      <w:r/>
      <w:bookmarkStart w:id="99" w:name="_Toc513029216"/>
      <w:r/>
      <w:bookmarkStart w:id="100" w:name="_Toc14577357"/>
      <w:r>
        <w:rPr>
          <w:rFonts w:hint="eastAsia" w:ascii="宋体" w:hAnsi="宋体" w:eastAsia="宋体" w:cs="宋体"/>
          <w:b/>
          <w:bCs/>
          <w:sz w:val="28"/>
          <w:szCs w:val="28"/>
          <w:highlight w:val="none"/>
        </w:rPr>
        <w:t xml:space="preserve">11、证明投标人及投标标的符合招标文件规定的文件</w:t>
      </w:r>
      <w:bookmarkEnd w:id="95"/>
      <w:r/>
      <w:bookmarkEnd w:id="96"/>
      <w:r/>
      <w:bookmarkEnd w:id="97"/>
      <w:r/>
      <w:bookmarkEnd w:id="98"/>
      <w:r/>
      <w:bookmarkEnd w:id="99"/>
      <w:r/>
      <w:bookmarkEnd w:id="100"/>
      <w:r/>
      <w:r/>
    </w:p>
    <w:p>
      <w:pPr>
        <w:ind w:firstLine="480"/>
        <w:spacing w:line="360" w:lineRule="auto"/>
        <w:rPr>
          <w:rFonts w:hint="eastAsia" w:ascii="宋体" w:hAnsi="宋体" w:eastAsia="宋体" w:cs="宋体"/>
          <w:sz w:val="24"/>
          <w:highlight w:val="none"/>
        </w:rPr>
      </w:pPr>
      <w:r/>
      <w:bookmarkStart w:id="101" w:name="_Toc14577355"/>
      <w:r/>
      <w:bookmarkStart w:id="102" w:name="_Toc49090508"/>
      <w:r>
        <w:rPr>
          <w:rFonts w:hint="eastAsia" w:ascii="宋体" w:hAnsi="宋体" w:eastAsia="宋体" w:cs="宋体"/>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11.2招标文件对证明文件无明确形式要求的，证明文件可以以文字资料、图纸和数据等形式提交。</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12、投标分项报价</w:t>
      </w:r>
      <w:bookmarkEnd w:id="101"/>
      <w:r/>
      <w:bookmarkStart w:id="103" w:name="_Hlt26670373"/>
      <w:r/>
      <w:bookmarkEnd w:id="103"/>
      <w:r>
        <w:rPr>
          <w:rFonts w:hint="eastAsia" w:ascii="宋体" w:hAnsi="宋体" w:eastAsia="宋体" w:cs="宋体"/>
          <w:b/>
          <w:bCs/>
          <w:sz w:val="28"/>
          <w:szCs w:val="28"/>
          <w:highlight w:val="none"/>
        </w:rPr>
        <w:t xml:space="preserve">表</w:t>
      </w:r>
      <w:bookmarkEnd w:id="102"/>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12.1 投</w:t>
      </w:r>
      <w:bookmarkStart w:id="104" w:name="_Hlt26954840"/>
      <w:r/>
      <w:bookmarkEnd w:id="104"/>
      <w:r>
        <w:rPr>
          <w:rFonts w:hint="eastAsia" w:ascii="宋体" w:hAnsi="宋体" w:eastAsia="宋体" w:cs="宋体"/>
          <w:sz w:val="24"/>
          <w:highlight w:val="none"/>
        </w:rPr>
        <w:t xml:space="preserve">标人按照招标文件规定格式填报投标分项报价表</w:t>
      </w:r>
      <w:bookmarkStart w:id="105" w:name="_Hlt26670399"/>
      <w:r/>
      <w:bookmarkEnd w:id="105"/>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12.2投标货币。投标文件中的单价和总价无特殊规定的采用人民币报价，以元为单位标注。招标文件中另有规定的按规定执行。</w:t>
      </w:r>
      <w:r/>
    </w:p>
    <w:p>
      <w:pPr>
        <w:ind w:firstLine="420"/>
        <w:keepLines w:val="0"/>
        <w:keepNext w:val="0"/>
        <w:pageBreakBefore w:val="0"/>
        <w:spacing w:line="360" w:lineRule="auto"/>
        <w:widowControl w:val="off"/>
        <w:rPr>
          <w:rFonts w:hint="eastAsia" w:ascii="宋体" w:hAnsi="宋体" w:eastAsia="宋体" w:cs="宋体"/>
          <w:b/>
          <w:bCs/>
          <w:sz w:val="28"/>
          <w:szCs w:val="28"/>
          <w:highlight w:val="none"/>
        </w:rPr>
      </w:pPr>
      <w:r/>
      <w:bookmarkStart w:id="106" w:name="_Hlt26954731"/>
      <w:r/>
      <w:bookmarkEnd w:id="106"/>
      <w:r/>
      <w:bookmarkStart w:id="107" w:name="_Hlt26670486"/>
      <w:r/>
      <w:bookmarkEnd w:id="107"/>
      <w:r/>
      <w:bookmarkStart w:id="108" w:name="_Hlt26670425"/>
      <w:r/>
      <w:bookmarkEnd w:id="108"/>
      <w:r/>
      <w:bookmarkStart w:id="109" w:name="_Hlt26954848"/>
      <w:r/>
      <w:bookmarkEnd w:id="109"/>
      <w:r/>
      <w:bookmarkStart w:id="110" w:name="_Hlt26670482"/>
      <w:r/>
      <w:bookmarkEnd w:id="110"/>
      <w:r/>
      <w:bookmarkStart w:id="111" w:name="_Hlt26670403"/>
      <w:r/>
      <w:bookmarkEnd w:id="111"/>
      <w:r/>
      <w:bookmarkStart w:id="112" w:name="_Hlt26668983"/>
      <w:r/>
      <w:bookmarkEnd w:id="112"/>
      <w:r/>
      <w:bookmarkStart w:id="113" w:name="_Hlt26954846"/>
      <w:r/>
      <w:bookmarkEnd w:id="113"/>
      <w:r/>
      <w:bookmarkStart w:id="114" w:name="_Hlt26954844"/>
      <w:r/>
      <w:bookmarkEnd w:id="114"/>
      <w:r/>
      <w:bookmarkStart w:id="115" w:name="_Hlt26954842"/>
      <w:r/>
      <w:bookmarkEnd w:id="115"/>
      <w:r>
        <w:rPr>
          <w:rFonts w:hint="eastAsia" w:ascii="宋体" w:hAnsi="宋体" w:eastAsia="宋体" w:cs="宋体"/>
          <w:b/>
          <w:bCs/>
          <w:sz w:val="28"/>
          <w:szCs w:val="28"/>
          <w:highlight w:val="none"/>
        </w:rPr>
        <w:t xml:space="preserve">13、技术要求响应及偏离表、商务要求响应及偏离表</w:t>
      </w:r>
      <w:r/>
    </w:p>
    <w:p>
      <w:pPr>
        <w:ind w:firstLine="48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13.1投标人需对招标文件中的技术要求与商务要求逐项作出响应，如有偏离的，应逐条填列在偏离表中，并说明偏离情况。</w:t>
      </w:r>
      <w:r/>
    </w:p>
    <w:p>
      <w:pPr>
        <w:ind w:firstLine="480"/>
        <w:spacing w:line="360" w:lineRule="auto"/>
        <w:rPr>
          <w:rFonts w:hint="eastAsia" w:ascii="宋体" w:hAnsi="宋体" w:eastAsia="宋体" w:cs="宋体"/>
          <w:sz w:val="24"/>
          <w:highlight w:val="none"/>
          <w:lang w:val="zh-CN"/>
        </w:rPr>
      </w:pPr>
      <w:r/>
      <w:bookmarkStart w:id="116" w:name="_Toc49090510"/>
      <w:r/>
      <w:bookmarkStart w:id="117" w:name="_Toc14577359"/>
      <w:r>
        <w:rPr>
          <w:rFonts w:hint="eastAsia" w:ascii="宋体" w:hAnsi="宋体" w:eastAsia="宋体" w:cs="宋体"/>
          <w:sz w:val="24"/>
          <w:highlight w:val="none"/>
          <w:lang w:val="zh-CN"/>
        </w:rPr>
        <w:t xml:space="preserve">13.2投标人需按照招标文件要求，在投标文件中提供与技术要求和商务要求相关的证明材料。</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14、投标函和开标一览表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投标人应按照要求提供的格式完整、正确填写投标函、开标一览表。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14.2对于采用货币报价的项目，开标一览表中的投标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总报价</w:t>
      </w:r>
      <w:r>
        <w:rPr>
          <w:rFonts w:hint="eastAsia" w:ascii="宋体" w:hAnsi="宋体" w:eastAsia="宋体" w:cs="宋体"/>
          <w:color w:val="000000" w:themeColor="text1"/>
          <w:sz w:val="24"/>
          <w:highlight w:val="none"/>
          <w14:textFill>
            <w14:solidFill>
              <w14:schemeClr w14:val="tx1"/>
            </w14:solidFill>
          </w14:textFill>
        </w:rPr>
        <w:t xml:space="preserve">应与投标分项报价表中的投标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总报价</w:t>
      </w:r>
      <w:r>
        <w:rPr>
          <w:rFonts w:hint="eastAsia" w:ascii="宋体" w:hAnsi="宋体" w:eastAsia="宋体" w:cs="宋体"/>
          <w:color w:val="000000" w:themeColor="text1"/>
          <w:sz w:val="24"/>
          <w:highlight w:val="none"/>
          <w14:textFill>
            <w14:solidFill>
              <w14:schemeClr w14:val="tx1"/>
            </w14:solidFill>
          </w14:textFill>
        </w:rPr>
        <w:t xml:space="preserve">一致，如不一致，</w:t>
      </w:r>
      <w:bookmarkEnd w:id="116"/>
      <w:r/>
      <w:bookmarkEnd w:id="117"/>
      <w:r>
        <w:rPr>
          <w:rFonts w:hint="eastAsia" w:ascii="宋体" w:hAnsi="宋体" w:eastAsia="宋体" w:cs="宋体"/>
          <w:color w:val="000000" w:themeColor="text1"/>
          <w:sz w:val="24"/>
          <w:highlight w:val="none"/>
          <w14:textFill>
            <w14:solidFill>
              <w14:schemeClr w14:val="tx1"/>
            </w14:solidFill>
          </w14:textFill>
        </w:rPr>
        <w:t xml:space="preserve">不作为无效投标处理，但评标时按开标一览表中价格为准。</w:t>
      </w:r>
      <w:r/>
    </w:p>
    <w:p>
      <w:pPr>
        <w:ind w:firstLine="422"/>
        <w:keepLines/>
        <w:keepNext/>
        <w:spacing w:line="360" w:lineRule="auto"/>
        <w:rPr>
          <w:rFonts w:hint="eastAsia" w:ascii="宋体" w:hAnsi="宋体" w:eastAsia="宋体" w:cs="宋体"/>
          <w:b/>
          <w:bCs/>
          <w:sz w:val="28"/>
          <w:szCs w:val="28"/>
          <w:highlight w:val="none"/>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cs="宋体"/>
          <w:b/>
          <w:bCs/>
          <w:sz w:val="28"/>
          <w:szCs w:val="28"/>
          <w:highlight w:val="none"/>
        </w:rPr>
        <w:t xml:space="preserve">15、投标有效期</w:t>
      </w:r>
      <w:bookmarkEnd w:id="121"/>
      <w:r/>
      <w:bookmarkEnd w:id="122"/>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 投标有效期为代理机构规定的开标之日后</w:t>
      </w:r>
      <w:r>
        <w:rPr>
          <w:rFonts w:hint="eastAsia" w:ascii="宋体" w:hAnsi="宋体" w:eastAsia="宋体" w:cs="宋体"/>
          <w:b/>
          <w:sz w:val="24"/>
          <w:highlight w:val="none"/>
          <w:u w:val="single"/>
        </w:rPr>
        <w:t xml:space="preserve">六十（60）天</w:t>
      </w:r>
      <w:r>
        <w:rPr>
          <w:rFonts w:hint="eastAsia" w:ascii="宋体" w:hAnsi="宋体" w:eastAsia="宋体" w:cs="宋体"/>
          <w:bCs/>
          <w:sz w:val="24"/>
          <w:highlight w:val="none"/>
        </w:rPr>
        <w:t xml:space="preserve">。投标有效期比规定短的将被视为未实质性响应招标文件而予以拒绝。</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16、投标有效期的延长</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ind w:firstLine="321"/>
        <w:keepLines/>
        <w:keepNext/>
        <w:spacing w:line="360" w:lineRule="auto"/>
        <w:rPr>
          <w:rFonts w:hint="eastAsia" w:ascii="宋体" w:hAnsi="宋体" w:eastAsia="宋体" w:cs="宋体"/>
          <w:b/>
          <w:bCs/>
          <w:sz w:val="32"/>
          <w:szCs w:val="32"/>
          <w:highlight w:val="none"/>
        </w:rPr>
        <w:outlineLvl w:val="1"/>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ascii="宋体" w:hAnsi="宋体" w:eastAsia="宋体" w:cs="宋体"/>
          <w:b/>
          <w:bCs/>
          <w:sz w:val="32"/>
          <w:szCs w:val="32"/>
          <w:highlight w:val="none"/>
        </w:rPr>
        <w:t xml:space="preserve">四、投标文件的递交</w:t>
      </w:r>
      <w:bookmarkEnd w:id="125"/>
      <w:r/>
      <w:bookmarkEnd w:id="126"/>
      <w:r/>
      <w:bookmarkEnd w:id="127"/>
      <w:r/>
      <w:bookmarkEnd w:id="128"/>
      <w:r/>
      <w:r/>
    </w:p>
    <w:p>
      <w:pPr>
        <w:ind w:firstLine="422"/>
        <w:keepLines/>
        <w:keepNext/>
        <w:spacing w:line="360" w:lineRule="auto"/>
        <w:rPr>
          <w:rFonts w:hint="eastAsia" w:ascii="宋体" w:hAnsi="宋体" w:eastAsia="宋体" w:cs="宋体"/>
          <w:b/>
          <w:bCs/>
          <w:sz w:val="28"/>
          <w:szCs w:val="28"/>
          <w:highlight w:val="none"/>
        </w:rPr>
      </w:pPr>
      <w:r/>
      <w:bookmarkStart w:id="129" w:name="_Toc20823297"/>
      <w:r/>
      <w:bookmarkStart w:id="130" w:name="_Toc513029225"/>
      <w:r/>
      <w:bookmarkStart w:id="131" w:name="_Toc462564084"/>
      <w:r/>
      <w:bookmarkStart w:id="132" w:name="_Toc16938541"/>
      <w:r>
        <w:rPr>
          <w:rFonts w:hint="eastAsia" w:ascii="宋体" w:hAnsi="宋体" w:eastAsia="宋体" w:cs="宋体"/>
          <w:b/>
          <w:bCs/>
          <w:sz w:val="28"/>
          <w:szCs w:val="28"/>
          <w:highlight w:val="none"/>
        </w:rPr>
        <w:t xml:space="preserve">17、投标文件</w:t>
      </w:r>
      <w:bookmarkEnd w:id="129"/>
      <w:r/>
      <w:bookmarkEnd w:id="130"/>
      <w:r/>
      <w:bookmarkEnd w:id="131"/>
      <w:r/>
      <w:bookmarkEnd w:id="132"/>
      <w:r>
        <w:rPr>
          <w:rFonts w:hint="eastAsia" w:ascii="宋体" w:hAnsi="宋体" w:eastAsia="宋体" w:cs="宋体"/>
          <w:b/>
          <w:bCs/>
          <w:sz w:val="28"/>
          <w:szCs w:val="28"/>
          <w:highlight w:val="none"/>
        </w:rPr>
        <w:t xml:space="preserve">的递交</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 电子投标文件的递交</w:t>
      </w:r>
      <w:r/>
    </w:p>
    <w:p>
      <w:pPr>
        <w:pStyle w:val="896"/>
        <w:ind w:left="525"/>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3" w:name="_Toc513029226"/>
      <w:r/>
      <w:bookmarkStart w:id="134" w:name="_Toc16938542"/>
      <w:r/>
      <w:bookmarkStart w:id="135" w:name="_Toc20823298"/>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18、投标截止</w:t>
      </w:r>
      <w:bookmarkEnd w:id="133"/>
      <w:r/>
      <w:bookmarkEnd w:id="134"/>
      <w:r/>
      <w:bookmarkEnd w:id="135"/>
      <w:r>
        <w:rPr>
          <w:rFonts w:hint="eastAsia" w:ascii="宋体" w:hAnsi="宋体" w:eastAsia="宋体" w:cs="宋体"/>
          <w:b/>
          <w:bCs/>
          <w:sz w:val="28"/>
          <w:szCs w:val="28"/>
          <w:highlight w:val="none"/>
        </w:rPr>
        <w:t xml:space="preserve">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rPr>
        <w:t xml:space="preserve">代理机构可以按照规定，通过修改招标文件酌情延长投标截止时间，在此情况下，投标人的所有权利和义务以及投标人受制的截止时间均应以延长后新的截止时间为准。</w:t>
      </w:r>
      <w:r/>
    </w:p>
    <w:p>
      <w:pPr>
        <w:ind w:firstLine="422"/>
        <w:keepLines/>
        <w:keepNext/>
        <w:spacing w:line="360" w:lineRule="auto"/>
        <w:rPr>
          <w:rFonts w:hint="eastAsia" w:ascii="宋体" w:hAnsi="宋体" w:eastAsia="宋体" w:cs="宋体"/>
          <w:b/>
          <w:bCs/>
          <w:sz w:val="28"/>
          <w:szCs w:val="28"/>
          <w:highlight w:val="none"/>
        </w:rPr>
      </w:pPr>
      <w:r/>
      <w:bookmarkStart w:id="136" w:name="_Toc16938543"/>
      <w:r/>
      <w:bookmarkStart w:id="137" w:name="_Toc20823299"/>
      <w:r/>
      <w:bookmarkStart w:id="138" w:name="_Toc513029227"/>
      <w:r>
        <w:rPr>
          <w:rFonts w:hint="eastAsia" w:ascii="宋体" w:hAnsi="宋体" w:eastAsia="宋体" w:cs="宋体"/>
          <w:b/>
          <w:bCs/>
          <w:sz w:val="28"/>
          <w:szCs w:val="28"/>
          <w:highlight w:val="none"/>
        </w:rPr>
        <w:t xml:space="preserve">19、投标文件</w:t>
      </w:r>
      <w:bookmarkEnd w:id="136"/>
      <w:r/>
      <w:bookmarkEnd w:id="137"/>
      <w:r/>
      <w:bookmarkEnd w:id="138"/>
      <w:r>
        <w:rPr>
          <w:rFonts w:hint="eastAsia" w:ascii="宋体" w:hAnsi="宋体" w:eastAsia="宋体" w:cs="宋体"/>
          <w:b/>
          <w:bCs/>
          <w:sz w:val="28"/>
          <w:szCs w:val="28"/>
          <w:highlight w:val="none"/>
        </w:rPr>
        <w:t xml:space="preserve">的拒收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rPr>
        <w:t xml:space="preserve">代理机构拒绝接收在其规定的投标截止时间后上传的任何投标文件。</w:t>
      </w:r>
      <w:r/>
    </w:p>
    <w:p>
      <w:pPr>
        <w:ind w:firstLine="422"/>
        <w:keepLines/>
        <w:keepNext/>
        <w:spacing w:line="360" w:lineRule="auto"/>
        <w:rPr>
          <w:rFonts w:hint="eastAsia" w:ascii="宋体" w:hAnsi="宋体" w:eastAsia="宋体" w:cs="宋体"/>
          <w:b/>
          <w:bCs/>
          <w:sz w:val="28"/>
          <w:szCs w:val="28"/>
          <w:highlight w:val="none"/>
        </w:rPr>
      </w:pPr>
      <w:r/>
      <w:bookmarkStart w:id="139" w:name="_Toc16938544"/>
      <w:r/>
      <w:bookmarkStart w:id="140" w:name="_Toc20823300"/>
      <w:r/>
      <w:bookmarkStart w:id="141" w:name="_Toc513029228"/>
      <w:r>
        <w:rPr>
          <w:rFonts w:hint="eastAsia" w:ascii="宋体" w:hAnsi="宋体" w:eastAsia="宋体" w:cs="宋体"/>
          <w:b/>
          <w:bCs/>
          <w:sz w:val="28"/>
          <w:szCs w:val="28"/>
          <w:highlight w:val="none"/>
        </w:rPr>
        <w:t xml:space="preserve">20、投标文件的撤回和修改</w:t>
      </w:r>
      <w:bookmarkEnd w:id="139"/>
      <w:r/>
      <w:bookmarkEnd w:id="140"/>
      <w:r/>
      <w:bookmarkEnd w:id="141"/>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投标文件的撤回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20.1.1 电子投标文件的撤回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20.1.2 投标人撤回电子投标文件，则认为其不再参与本项目投标活动。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 投标文件的修改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 在投标截止时间之后，投标人不得对其电子投标文件作任何修改。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ind w:firstLine="321"/>
        <w:keepLines/>
        <w:keepNext/>
        <w:spacing w:line="360" w:lineRule="auto"/>
        <w:rPr>
          <w:rFonts w:hint="eastAsia" w:ascii="宋体" w:hAnsi="宋体" w:eastAsia="宋体" w:cs="宋体"/>
          <w:b/>
          <w:bCs/>
          <w:sz w:val="32"/>
          <w:szCs w:val="32"/>
          <w:highlight w:val="none"/>
        </w:rPr>
        <w:outlineLvl w:val="1"/>
      </w:pPr>
      <w:r/>
      <w:bookmarkStart w:id="142" w:name="_Toc120614218"/>
      <w:r/>
      <w:bookmarkStart w:id="143" w:name="_Toc20823301"/>
      <w:r/>
      <w:bookmarkStart w:id="144" w:name="_Toc513029229"/>
      <w:r/>
      <w:bookmarkStart w:id="145" w:name="_Toc16938545"/>
      <w:r>
        <w:rPr>
          <w:rFonts w:hint="eastAsia" w:ascii="宋体" w:hAnsi="宋体" w:eastAsia="宋体" w:cs="宋体"/>
          <w:b/>
          <w:bCs/>
          <w:sz w:val="32"/>
          <w:szCs w:val="32"/>
          <w:highlight w:val="none"/>
        </w:rPr>
        <w:t xml:space="preserve">五、开标与评标</w:t>
      </w:r>
      <w:bookmarkEnd w:id="142"/>
      <w:r/>
      <w:bookmarkEnd w:id="143"/>
      <w:r/>
      <w:bookmarkEnd w:id="144"/>
      <w:r/>
      <w:bookmarkEnd w:id="145"/>
      <w:r/>
      <w:r/>
    </w:p>
    <w:p>
      <w:pPr>
        <w:ind w:firstLine="422"/>
        <w:keepLines/>
        <w:keepNext/>
        <w:spacing w:line="360" w:lineRule="auto"/>
        <w:rPr>
          <w:rFonts w:hint="eastAsia" w:ascii="宋体" w:hAnsi="宋体" w:eastAsia="宋体" w:cs="宋体"/>
          <w:b/>
          <w:bCs/>
          <w:sz w:val="28"/>
          <w:szCs w:val="28"/>
          <w:highlight w:val="none"/>
        </w:rPr>
      </w:pPr>
      <w:r/>
      <w:bookmarkStart w:id="146" w:name="_Toc16938546"/>
      <w:r/>
      <w:bookmarkStart w:id="147" w:name="_Toc20823302"/>
      <w:r/>
      <w:bookmarkStart w:id="148" w:name="_Toc513029230"/>
      <w:r>
        <w:rPr>
          <w:rFonts w:hint="eastAsia" w:ascii="宋体" w:hAnsi="宋体" w:eastAsia="宋体" w:cs="宋体"/>
          <w:b/>
          <w:bCs/>
          <w:sz w:val="28"/>
          <w:szCs w:val="28"/>
          <w:highlight w:val="none"/>
        </w:rPr>
        <w:t xml:space="preserve">21、开标</w:t>
      </w:r>
      <w:bookmarkEnd w:id="146"/>
      <w:r/>
      <w:bookmarkEnd w:id="147"/>
      <w:r/>
      <w:bookmarkEnd w:id="148"/>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21.2开标仪式由代理机构组织。苏采云系统将自动对项目进行开标，并宣布各投标人名称和投标价格。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2"/>
        <w:keepLines/>
        <w:keepNext/>
        <w:spacing w:line="360" w:lineRule="auto"/>
        <w:rPr>
          <w:rFonts w:hint="eastAsia" w:ascii="宋体" w:hAnsi="宋体" w:eastAsia="宋体" w:cs="宋体"/>
          <w:b/>
          <w:bCs/>
          <w:sz w:val="28"/>
          <w:szCs w:val="28"/>
          <w:highlight w:val="none"/>
        </w:rPr>
      </w:pPr>
      <w:r/>
      <w:bookmarkStart w:id="149" w:name="_Toc513029231"/>
      <w:r/>
      <w:bookmarkStart w:id="150" w:name="_Toc16938547"/>
      <w:r/>
      <w:bookmarkStart w:id="151" w:name="_Toc20823303"/>
      <w:r>
        <w:rPr>
          <w:rFonts w:hint="eastAsia" w:ascii="宋体" w:hAnsi="宋体" w:eastAsia="宋体" w:cs="宋体"/>
          <w:b/>
          <w:bCs/>
          <w:sz w:val="28"/>
          <w:szCs w:val="28"/>
          <w:highlight w:val="none"/>
        </w:rPr>
        <w:t xml:space="preserve">22、评标委员会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 开标后，代理机构将立即组织评标委员会（以下简称评委会）进行评标。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 评委会由采购人代表和有关技术、经济等方面的专家组成，且人员构成符合政府采购有关规定。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22.3评委会独立工作，负责评审所有投标文件并确定中标候选人。</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23、评标过程的保密与公正</w:t>
      </w:r>
      <w:bookmarkEnd w:id="149"/>
      <w:r/>
      <w:bookmarkEnd w:id="150"/>
      <w:r/>
      <w:bookmarkEnd w:id="151"/>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23.2在评标过程中，投标人不得以任何行为影响评标过程，否则其投标文件将被作为无效投标文件。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23.3在评标期间，代理机构将设专门人员与投标人联系。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23.4代理机构和评标委员会不向未中标的投标人解释未中标原因，也不公布评标过程中的相关细节。</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23.5采用综合评分法的项目，未中标的投标人可于中标结果公告期限届满之日起通过苏采云系统查看自己的评审得分及排序情况。</w:t>
      </w:r>
      <w:r/>
    </w:p>
    <w:p>
      <w:pPr>
        <w:ind w:firstLine="422"/>
        <w:keepLines/>
        <w:keepNext/>
        <w:spacing w:line="360" w:lineRule="auto"/>
        <w:rPr>
          <w:rFonts w:hint="eastAsia" w:ascii="宋体" w:hAnsi="宋体" w:eastAsia="宋体" w:cs="宋体"/>
          <w:b/>
          <w:bCs/>
          <w:sz w:val="28"/>
          <w:szCs w:val="28"/>
          <w:highlight w:val="none"/>
        </w:rPr>
      </w:pPr>
      <w:r/>
      <w:bookmarkStart w:id="152" w:name="_Toc513029232"/>
      <w:r/>
      <w:bookmarkStart w:id="153" w:name="_Toc16938548"/>
      <w:r/>
      <w:bookmarkStart w:id="154" w:name="_Toc20823304"/>
      <w:r>
        <w:rPr>
          <w:rFonts w:hint="eastAsia" w:ascii="宋体" w:hAnsi="宋体" w:eastAsia="宋体" w:cs="宋体"/>
          <w:b/>
          <w:bCs/>
          <w:sz w:val="28"/>
          <w:szCs w:val="28"/>
          <w:highlight w:val="none"/>
        </w:rPr>
        <w:t xml:space="preserve">24、投标文件的澄清</w:t>
      </w:r>
      <w:bookmarkEnd w:id="152"/>
      <w:r/>
      <w:bookmarkEnd w:id="153"/>
      <w:r/>
      <w:bookmarkEnd w:id="154"/>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评标委员会并非对每个投标人都做澄清要求。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24.3接到评委会澄清、说明和补正要求的投标人如未按规定做出澄清、说明和补正，其风险由投标人自行承担。</w:t>
      </w:r>
      <w:r/>
    </w:p>
    <w:p>
      <w:pPr>
        <w:ind w:firstLine="422"/>
        <w:keepLines/>
        <w:keepNext/>
        <w:spacing w:line="360" w:lineRule="auto"/>
        <w:rPr>
          <w:rFonts w:hint="eastAsia" w:ascii="宋体" w:hAnsi="宋体" w:eastAsia="宋体" w:cs="宋体"/>
          <w:b/>
          <w:bCs/>
          <w:sz w:val="28"/>
          <w:szCs w:val="28"/>
          <w:highlight w:val="none"/>
        </w:rPr>
      </w:pPr>
      <w:r/>
      <w:bookmarkStart w:id="155" w:name="_Toc20823305"/>
      <w:r/>
      <w:bookmarkStart w:id="156" w:name="_Toc16938549"/>
      <w:r/>
      <w:bookmarkStart w:id="157" w:name="_Toc513029233"/>
      <w:r>
        <w:rPr>
          <w:rFonts w:hint="eastAsia" w:ascii="宋体" w:hAnsi="宋体" w:eastAsia="宋体" w:cs="宋体"/>
          <w:b/>
          <w:bCs/>
          <w:sz w:val="28"/>
          <w:szCs w:val="28"/>
          <w:highlight w:val="none"/>
        </w:rPr>
        <w:t xml:space="preserve">25、对投标文件的初审</w:t>
      </w:r>
      <w:bookmarkEnd w:id="155"/>
      <w:r/>
      <w:bookmarkEnd w:id="156"/>
      <w:r/>
      <w:bookmarkEnd w:id="157"/>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25.1.3未通过资格审查或符合性审查的投标人，评标委员会将在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中告知未通过资格审查或符合性审查的原因，评标结束后，评标委员会将不再告知未通过资格审查和符合性审查的原因。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（1）大写金额和小写金额不一致的，以大写金额为准。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（2）单价金额小数点或者百分比有明显错位的，以开标一览表的总价为准，并修改单价。</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（3）总价金额与按单价汇总金额不一致的，以单价金额计算结果为准。</w:t>
      </w:r>
      <w:r/>
    </w:p>
    <w:p>
      <w:pPr>
        <w:ind w:firstLine="7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25.6评委会将允许修正投标文件中不构成重大偏离的、微小的、非正规的、不一致的或不规则的地方，但这些修改不能影响任何投标人相应的名次排列。</w:t>
      </w:r>
      <w:bookmarkStart w:id="158" w:name="_Toc16938550"/>
      <w:r/>
      <w:bookmarkStart w:id="159" w:name="_Toc20823306"/>
      <w:r/>
      <w:bookmarkStart w:id="160" w:name="_Toc513029234"/>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sz w:val="24"/>
          <w:highlight w:val="none"/>
          <w:lang w:eastAsia="zh-CN"/>
        </w:rPr>
        <w:t xml:space="preserve">。</w:t>
      </w:r>
      <w:r/>
    </w:p>
    <w:p>
      <w:pPr>
        <w:ind w:firstLine="480"/>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25.8</w:t>
      </w:r>
      <w:r>
        <w:rPr>
          <w:rFonts w:hint="eastAsia" w:ascii="宋体" w:hAnsi="宋体" w:eastAsia="宋体" w:cs="宋体"/>
          <w:bCs/>
          <w:sz w:val="24"/>
          <w:highlight w:val="none"/>
        </w:rPr>
        <w:t xml:space="preserve">投标人在开、评标全过程中应保持通讯畅通，及时登录苏采云系统查阅、答复相关信息，并安排专人与代理机构及评标委员会联系。</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25.9</w:t>
      </w:r>
      <w:r>
        <w:rPr>
          <w:rFonts w:hint="eastAsia" w:ascii="宋体" w:hAnsi="宋体" w:eastAsia="宋体" w:cs="宋体"/>
          <w:b/>
          <w:bCs w:val="0"/>
          <w:sz w:val="24"/>
          <w:highlight w:val="none"/>
        </w:rPr>
        <w:t xml:space="preserve">异常低价审查</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25.</w:t>
      </w:r>
      <w:r>
        <w:rPr>
          <w:rFonts w:hint="eastAsia" w:ascii="宋体" w:hAnsi="宋体" w:eastAsia="宋体" w:cs="宋体"/>
          <w:b/>
          <w:bCs w:val="0"/>
          <w:sz w:val="24"/>
          <w:highlight w:val="none"/>
          <w:lang w:val="en-US" w:eastAsia="zh-CN"/>
        </w:rPr>
        <w:t xml:space="preserve">9</w:t>
      </w:r>
      <w:r>
        <w:rPr>
          <w:rFonts w:hint="eastAsia" w:ascii="宋体" w:hAnsi="宋体" w:eastAsia="宋体" w:cs="宋体"/>
          <w:b/>
          <w:bCs w:val="0"/>
          <w:sz w:val="24"/>
          <w:highlight w:val="none"/>
        </w:rPr>
        <w:t xml:space="preserve">.1.根据省财政厅《关于推动解决政府采购异常低价问题的通知》（苏财购〔2026〕2号）要求，评审过程中出现下列情形之一的，评标委员会启动异常低价投标(响应)审查的情形和具体要求，包括:</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（3）投标(响应)报价低于采购项目最高限价45%的，即投标(响应)报价&lt;采购项目最高限价X45%;</w:t>
      </w:r>
      <w:r/>
    </w:p>
    <w:p>
      <w:pPr>
        <w:ind w:firstLine="480"/>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（4）评标委员会认定的供应商报价过低、有可能影响产品质量或者不能诚信履约的其他情形。</w:t>
      </w:r>
      <w:r/>
    </w:p>
    <w:p>
      <w:pPr>
        <w:ind w:firstLine="482"/>
        <w:spacing w:line="4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25.</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
          <w:bCs w:val="0"/>
          <w:color w:val="000000" w:themeColor="text1"/>
          <w:sz w:val="24"/>
          <w:highlight w:val="none"/>
          <w14:textFill>
            <w14:solidFill>
              <w14:schemeClr w14:val="tx1"/>
            </w14:solidFill>
          </w14:textFill>
        </w:rPr>
        <w:t xml:space="preserve">.2.</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评标委员会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0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00" w:lineRule="exact"/>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26、</w:t>
      </w:r>
      <w:bookmarkEnd w:id="158"/>
      <w:r/>
      <w:bookmarkEnd w:id="159"/>
      <w:r/>
      <w:bookmarkEnd w:id="160"/>
      <w:r>
        <w:rPr>
          <w:rFonts w:hint="eastAsia" w:ascii="宋体" w:hAnsi="宋体" w:eastAsia="宋体" w:cs="宋体"/>
          <w:b/>
          <w:bCs/>
          <w:sz w:val="28"/>
          <w:szCs w:val="28"/>
          <w:highlight w:val="none"/>
        </w:rPr>
        <w:t xml:space="preserve">无效投标条款和废标条款</w:t>
      </w:r>
      <w:r/>
    </w:p>
    <w:p>
      <w:pPr>
        <w:ind w:left="479"/>
        <w:spacing w:line="360" w:lineRule="auto"/>
        <w:rPr>
          <w:rFonts w:hint="eastAsia" w:ascii="宋体" w:hAnsi="宋体" w:eastAsia="宋体" w:cs="宋体"/>
          <w:bCs/>
          <w:sz w:val="24"/>
          <w:highlight w:val="none"/>
        </w:rPr>
        <w:outlineLvl w:val="2"/>
      </w:pPr>
      <w:r/>
      <w:bookmarkStart w:id="161" w:name="_Toc16938551"/>
      <w:r/>
      <w:bookmarkStart w:id="162" w:name="_Toc513029235"/>
      <w:r/>
      <w:bookmarkStart w:id="163" w:name="_Toc20823307"/>
      <w:r>
        <w:rPr>
          <w:rFonts w:hint="eastAsia" w:ascii="宋体" w:hAnsi="宋体" w:eastAsia="宋体" w:cs="宋体"/>
          <w:bCs/>
          <w:sz w:val="24"/>
          <w:highlight w:val="none"/>
        </w:rPr>
        <w:t xml:space="preserve">26.1无效投标条款</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26.1.2 投标人未按照招标文件要求上传电子投标文件的。</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26.1.3 投标人同一分包提交两个（含两个）以上不同的投标报价的。</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26.1.4投标人不具备招标文件中规定资格要求的。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26.1.5投标人的报价超过了采购预算或最高限价的。</w:t>
      </w:r>
      <w:r/>
    </w:p>
    <w:p>
      <w:pPr>
        <w:ind w:firstLine="480"/>
        <w:spacing w:line="360" w:lineRule="auto"/>
        <w:rPr>
          <w:rFonts w:hint="eastAsia" w:ascii="宋体" w:hAnsi="宋体" w:eastAsia="宋体" w:cs="宋体"/>
          <w:bCs/>
          <w:i/>
          <w:sz w:val="24"/>
          <w:highlight w:val="none"/>
          <w:u w:val="single"/>
        </w:rPr>
      </w:pPr>
      <w:r>
        <w:rPr>
          <w:rFonts w:hint="eastAsia" w:ascii="宋体" w:hAnsi="宋体" w:eastAsia="宋体" w:cs="宋体"/>
          <w:bCs/>
          <w:sz w:val="24"/>
          <w:highlight w:val="none"/>
        </w:rPr>
        <w:t xml:space="preserve">26.1.6未通过符合性审查的。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26.1.7不符合招标文件中规定的实质性要求的。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投标文件含有采购人不能接受的附加条件的。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w:t>
      </w:r>
      <w:r>
        <w:rPr>
          <w:rFonts w:hint="eastAsia" w:ascii="宋体" w:hAnsi="宋体" w:eastAsia="宋体" w:cs="宋体"/>
          <w:bCs/>
          <w:sz w:val="24"/>
          <w:highlight w:val="none"/>
          <w:lang w:val="en-US" w:eastAsia="zh-CN"/>
        </w:rPr>
        <w:t xml:space="preserve">10</w:t>
      </w:r>
      <w:r>
        <w:rPr>
          <w:rFonts w:hint="eastAsia" w:ascii="宋体" w:hAnsi="宋体" w:eastAsia="宋体" w:cs="宋体"/>
          <w:bCs/>
          <w:sz w:val="24"/>
          <w:highlight w:val="none"/>
        </w:rPr>
        <w:t xml:space="preserve">评标委员会认为投标人的报价明显低于其他通过符合性审查投标人的报价，有可能影响产品质量或者不能诚信履约的，将通过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26.1.1</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投标文件未按照招标文件要求加盖CA电子公章的。</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26.1.12联合体投标未提供联合体协议书的。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26.1.1</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其他法律、法规及本招标文件规定的属无效投标的情形。</w:t>
      </w:r>
      <w:r/>
    </w:p>
    <w:p>
      <w:pPr>
        <w:ind w:left="479"/>
        <w:spacing w:line="360" w:lineRule="auto"/>
        <w:rPr>
          <w:rFonts w:hint="eastAsia" w:ascii="宋体" w:hAnsi="宋体" w:eastAsia="宋体" w:cs="宋体"/>
          <w:bCs/>
          <w:sz w:val="24"/>
          <w:highlight w:val="none"/>
        </w:rPr>
        <w:outlineLvl w:val="2"/>
      </w:pPr>
      <w:r>
        <w:rPr>
          <w:rFonts w:hint="eastAsia" w:ascii="宋体" w:hAnsi="宋体" w:eastAsia="宋体" w:cs="宋体"/>
          <w:bCs/>
          <w:sz w:val="24"/>
          <w:highlight w:val="none"/>
        </w:rPr>
        <w:t xml:space="preserve">26.2废标条款</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26.2.1符合专业条件的投标人或者对招标文件作实质响应的投标人不足三家的。26.2.2出现影响采购公正的违法、违规行为的。</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sz w:val="24"/>
          <w:szCs w:val="24"/>
          <w:highlight w:val="none"/>
        </w:rPr>
        <w:t xml:space="preserve">苏采云</w:t>
      </w:r>
      <w:r>
        <w:rPr>
          <w:rFonts w:hint="eastAsia" w:ascii="宋体" w:hAnsi="宋体" w:eastAsia="宋体" w:cs="宋体"/>
          <w:bCs/>
          <w:sz w:val="24"/>
          <w:highlight w:val="none"/>
        </w:rPr>
        <w:t xml:space="preserve">系统故障原因造成开标不成功的。</w:t>
      </w:r>
      <w:r/>
    </w:p>
    <w:p>
      <w:pPr>
        <w:ind w:left="479"/>
        <w:spacing w:line="360" w:lineRule="auto"/>
        <w:rPr>
          <w:rFonts w:hint="eastAsia" w:ascii="宋体" w:hAnsi="宋体" w:eastAsia="宋体" w:cs="宋体"/>
          <w:bCs/>
          <w:sz w:val="24"/>
          <w:highlight w:val="none"/>
        </w:rPr>
        <w:outlineLvl w:val="2"/>
      </w:pPr>
      <w:r>
        <w:rPr>
          <w:rFonts w:hint="eastAsia" w:ascii="宋体" w:hAnsi="宋体" w:eastAsia="宋体" w:cs="宋体"/>
          <w:bCs/>
          <w:sz w:val="24"/>
          <w:highlight w:val="none"/>
        </w:rPr>
        <w:t xml:space="preserve">26.3 投标截止时间结束后参加投标的供应商不足三家的处理：</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w:t>
      </w:r>
      <w:r>
        <w:rPr>
          <w:rFonts w:hint="eastAsia" w:ascii="宋体" w:hAnsi="宋体" w:eastAsia="宋体" w:cs="宋体"/>
          <w:bCs/>
          <w:sz w:val="24"/>
          <w:highlight w:val="none"/>
          <w:lang w:val="en-US" w:eastAsia="zh-CN"/>
        </w:rPr>
        <w:t xml:space="preserve">如有两家单位</w:t>
      </w:r>
      <w:r>
        <w:rPr>
          <w:rFonts w:hint="eastAsia" w:ascii="宋体" w:hAnsi="宋体" w:eastAsia="宋体" w:cs="宋体"/>
          <w:b w:val="0"/>
          <w:bCs/>
          <w:sz w:val="24"/>
          <w:highlight w:val="none"/>
          <w:lang w:val="en-US" w:eastAsia="zh-CN"/>
        </w:rPr>
        <w:t xml:space="preserve">的，</w:t>
      </w:r>
      <w:r>
        <w:rPr>
          <w:rFonts w:hint="eastAsia" w:ascii="宋体" w:hAnsi="宋体" w:eastAsia="宋体" w:cs="宋体"/>
          <w:b w:val="0"/>
          <w:bCs/>
          <w:sz w:val="24"/>
          <w:szCs w:val="24"/>
          <w:highlight w:val="none"/>
        </w:rPr>
        <w:t xml:space="preserve">可现场更改</w:t>
      </w:r>
      <w:r>
        <w:rPr>
          <w:rFonts w:hint="eastAsia" w:ascii="宋体" w:hAnsi="宋体" w:eastAsia="宋体" w:cs="宋体"/>
          <w:b w:val="0"/>
          <w:bCs/>
          <w:sz w:val="24"/>
          <w:szCs w:val="24"/>
          <w:highlight w:val="none"/>
          <w:lang w:val="en-US" w:eastAsia="zh-CN"/>
        </w:rPr>
        <w:t xml:space="preserve">竞争性谈判的采购</w:t>
      </w:r>
      <w:r>
        <w:rPr>
          <w:rFonts w:hint="eastAsia" w:ascii="宋体" w:hAnsi="宋体" w:eastAsia="宋体" w:cs="宋体"/>
          <w:b w:val="0"/>
          <w:bCs/>
          <w:sz w:val="24"/>
          <w:szCs w:val="24"/>
          <w:highlight w:val="none"/>
        </w:rPr>
        <w:t xml:space="preserve">方式</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如有一家单位的，可现场更改单一来源的采购方式。</w:t>
      </w:r>
      <w:r/>
    </w:p>
    <w:p>
      <w:pPr>
        <w:ind w:firstLine="421"/>
        <w:keepLines/>
        <w:keepNext/>
        <w:spacing w:line="360" w:lineRule="auto"/>
        <w:rPr>
          <w:rFonts w:hint="eastAsia" w:ascii="宋体" w:hAnsi="宋体" w:eastAsia="宋体" w:cs="宋体"/>
          <w:b/>
          <w:bCs/>
          <w:sz w:val="32"/>
          <w:szCs w:val="32"/>
          <w:highlight w:val="none"/>
        </w:rPr>
        <w:outlineLvl w:val="1"/>
      </w:pPr>
      <w:r/>
      <w:bookmarkStart w:id="164" w:name="_Toc120614219"/>
      <w:r>
        <w:rPr>
          <w:rFonts w:hint="eastAsia" w:ascii="宋体" w:hAnsi="宋体" w:eastAsia="宋体" w:cs="宋体"/>
          <w:b/>
          <w:bCs/>
          <w:sz w:val="32"/>
          <w:szCs w:val="32"/>
          <w:highlight w:val="none"/>
        </w:rPr>
        <w:t xml:space="preserve">六、</w:t>
      </w:r>
      <w:bookmarkEnd w:id="161"/>
      <w:r/>
      <w:bookmarkEnd w:id="162"/>
      <w:r/>
      <w:bookmarkEnd w:id="163"/>
      <w:r>
        <w:rPr>
          <w:rFonts w:hint="eastAsia" w:ascii="宋体" w:hAnsi="宋体" w:eastAsia="宋体" w:cs="宋体"/>
          <w:b/>
          <w:bCs/>
          <w:sz w:val="32"/>
          <w:szCs w:val="32"/>
          <w:highlight w:val="none"/>
        </w:rPr>
        <w:t xml:space="preserve">定标</w:t>
      </w:r>
      <w:bookmarkEnd w:id="164"/>
      <w:r/>
      <w:r/>
    </w:p>
    <w:p>
      <w:pPr>
        <w:ind w:firstLine="422"/>
        <w:keepLines/>
        <w:keepNext/>
        <w:spacing w:line="360" w:lineRule="auto"/>
        <w:rPr>
          <w:rFonts w:hint="eastAsia" w:ascii="宋体" w:hAnsi="宋体" w:eastAsia="宋体" w:cs="宋体"/>
          <w:b/>
          <w:bCs/>
          <w:sz w:val="28"/>
          <w:szCs w:val="28"/>
          <w:highlight w:val="none"/>
        </w:rPr>
      </w:pPr>
      <w:r/>
      <w:bookmarkStart w:id="165" w:name="_Toc513029238"/>
      <w:r/>
      <w:bookmarkStart w:id="166" w:name="_Toc20823310"/>
      <w:r/>
      <w:bookmarkStart w:id="167" w:name="_Toc16938554"/>
      <w:r>
        <w:rPr>
          <w:rFonts w:hint="eastAsia" w:ascii="宋体" w:hAnsi="宋体" w:eastAsia="宋体" w:cs="宋体"/>
          <w:b/>
          <w:bCs/>
          <w:sz w:val="28"/>
          <w:szCs w:val="28"/>
          <w:highlight w:val="none"/>
        </w:rPr>
        <w:t xml:space="preserve">27、</w:t>
      </w:r>
      <w:bookmarkEnd w:id="165"/>
      <w:r>
        <w:rPr>
          <w:rFonts w:hint="eastAsia" w:ascii="宋体" w:hAnsi="宋体" w:eastAsia="宋体" w:cs="宋体"/>
          <w:b/>
          <w:bCs/>
          <w:sz w:val="28"/>
          <w:szCs w:val="28"/>
          <w:highlight w:val="none"/>
        </w:rPr>
        <w:t xml:space="preserve">确定</w:t>
      </w:r>
      <w:bookmarkEnd w:id="166"/>
      <w:r/>
      <w:bookmarkEnd w:id="167"/>
      <w:r>
        <w:rPr>
          <w:rFonts w:hint="eastAsia" w:ascii="宋体" w:hAnsi="宋体" w:eastAsia="宋体" w:cs="宋体"/>
          <w:b/>
          <w:bCs/>
          <w:sz w:val="28"/>
          <w:szCs w:val="28"/>
          <w:highlight w:val="none"/>
        </w:rPr>
        <w:t xml:space="preserve">中标单位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27.1中标候选人的选取原则和数量见招标文件第五章规定。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27.2 采购人委托评委会直接确定排名第一的中标候选人为中标人。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 </w:t>
      </w:r>
      <w:r>
        <w:rPr>
          <w:rFonts w:hint="eastAsia" w:ascii="宋体" w:hAnsi="宋体" w:eastAsia="宋体" w:cs="宋体"/>
          <w:sz w:val="24"/>
          <w:szCs w:val="24"/>
          <w:highlight w:val="none"/>
        </w:rPr>
        <w:t xml:space="preserve">代理机构将在“江苏政府采购网”发布中标公告，公告期限为1个工作日。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27.4若有充分证据证明，中标人出现下列情况之一的，一经查实，将被取消中标资格：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27.4.2向采购人、代理机构行贿或者提供其他不正当利益的。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 属于本文件规定的无效条件，但在评标过程中又未被评委会发现的。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360" w:lineRule="auto"/>
        <w:rPr>
          <w:rFonts w:hint="eastAsia" w:ascii="宋体" w:hAnsi="宋体" w:eastAsia="宋体" w:cs="宋体"/>
          <w:sz w:val="24"/>
          <w:szCs w:val="24"/>
          <w:highlight w:val="none"/>
        </w:rPr>
      </w:pPr>
      <w:r/>
      <w:bookmarkStart w:id="168" w:name="_Toc200451960"/>
      <w:r>
        <w:rPr>
          <w:rFonts w:hint="eastAsia" w:ascii="宋体" w:hAnsi="宋体" w:eastAsia="宋体" w:cs="宋体"/>
          <w:sz w:val="24"/>
          <w:szCs w:val="24"/>
          <w:highlight w:val="none"/>
        </w:rPr>
        <w:t xml:space="preserve">27.5 有下列情形之一的，视为投标人串通投标，投标无效：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28、质疑处理</w:t>
      </w:r>
      <w:bookmarkEnd w:id="16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质疑函必须按照本招标文件中《质疑函范本》（附件15）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采购人及代理机构只接收以纸质原件形式送达的质疑,建议投标人尽量通过邮寄方式提交质疑（采购人和代理机构不接受无快递运单号的快递）。</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采购人质疑接收人及联系方式，见本招标文件第一章。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代理机构质疑受理联系方式，见本招标文件第一章。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29、中标通知书</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1"/>
        <w:ind w:firstLine="48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69" w:name="_Toc513029236"/>
      <w:r/>
      <w:bookmarkStart w:id="170" w:name="_Toc120614220"/>
      <w:r/>
      <w:bookmarkStart w:id="171" w:name="_Toc20823308"/>
      <w:r/>
      <w:bookmarkStart w:id="172" w:name="_Toc16938552"/>
      <w:r/>
      <w:r/>
    </w:p>
    <w:p>
      <w:pPr>
        <w:pStyle w:val="701"/>
        <w:ind w:firstLine="480"/>
        <w:spacing w:before="0" w:beforeAutospacing="0" w:after="0" w:afterAutospacing="0"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七、授予合同</w:t>
      </w:r>
      <w:bookmarkEnd w:id="169"/>
      <w:r/>
      <w:bookmarkEnd w:id="170"/>
      <w:r/>
      <w:bookmarkEnd w:id="171"/>
      <w:r/>
      <w:bookmarkEnd w:id="172"/>
      <w:r/>
      <w:r/>
    </w:p>
    <w:p>
      <w:pPr>
        <w:ind w:firstLine="422"/>
        <w:keepLines/>
        <w:keepNext/>
        <w:spacing w:line="360" w:lineRule="auto"/>
        <w:rPr>
          <w:rFonts w:hint="eastAsia" w:ascii="宋体" w:hAnsi="宋体" w:eastAsia="宋体" w:cs="宋体"/>
          <w:b/>
          <w:bCs/>
          <w:sz w:val="28"/>
          <w:szCs w:val="28"/>
          <w:highlight w:val="none"/>
        </w:rPr>
      </w:pPr>
      <w:r/>
      <w:bookmarkStart w:id="173" w:name="_Toc513029237"/>
      <w:r/>
      <w:bookmarkStart w:id="174" w:name="_Toc20823309"/>
      <w:r/>
      <w:bookmarkStart w:id="175" w:name="_Toc16938553"/>
      <w:r>
        <w:rPr>
          <w:rFonts w:hint="eastAsia" w:ascii="宋体" w:hAnsi="宋体" w:eastAsia="宋体" w:cs="宋体"/>
          <w:b/>
          <w:bCs/>
          <w:sz w:val="28"/>
          <w:szCs w:val="28"/>
          <w:highlight w:val="none"/>
        </w:rPr>
        <w:t xml:space="preserve">30、 签订合同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w:t>
      </w:r>
      <w:r>
        <w:rPr>
          <w:rFonts w:hint="eastAsia" w:ascii="宋体" w:hAnsi="宋体" w:eastAsia="宋体" w:cs="宋体"/>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b/>
          <w:bCs/>
          <w:sz w:val="24"/>
          <w:szCs w:val="24"/>
          <w:highlight w:val="none"/>
        </w:rPr>
        <w:t xml:space="preserve">中标</w:t>
      </w:r>
      <w:r>
        <w:rPr>
          <w:rFonts w:hint="eastAsia" w:ascii="宋体" w:hAnsi="宋体" w:eastAsia="宋体" w:cs="宋体"/>
          <w:b/>
          <w:bCs/>
          <w:sz w:val="24"/>
          <w:szCs w:val="24"/>
          <w:highlight w:val="none"/>
          <w:lang w:val="zh-CN"/>
        </w:rPr>
        <w:t xml:space="preserve">人应在中标结果公告之日起五个工作日内向</w:t>
      </w:r>
      <w:r>
        <w:rPr>
          <w:rFonts w:hint="eastAsia" w:ascii="宋体" w:hAnsi="宋体" w:eastAsia="宋体" w:cs="宋体"/>
          <w:b/>
          <w:bCs/>
          <w:sz w:val="24"/>
          <w:szCs w:val="24"/>
          <w:highlight w:val="none"/>
        </w:rPr>
        <w:t xml:space="preserve">代理机构提供三份纸质版投标文件</w:t>
      </w:r>
      <w:r>
        <w:rPr>
          <w:rFonts w:hint="eastAsia" w:ascii="宋体" w:hAnsi="宋体" w:eastAsia="宋体" w:cs="宋体"/>
          <w:b/>
          <w:bCs/>
          <w:sz w:val="24"/>
          <w:szCs w:val="24"/>
          <w:highlight w:val="none"/>
          <w:lang w:val="zh-CN"/>
        </w:rPr>
        <w:t xml:space="preserve">（须与上传电子档内容一致）</w:t>
      </w:r>
      <w:r>
        <w:rPr>
          <w:rFonts w:hint="eastAsia" w:ascii="宋体" w:hAnsi="宋体" w:eastAsia="宋体" w:cs="宋体"/>
          <w:b/>
          <w:bCs/>
          <w:sz w:val="24"/>
          <w:szCs w:val="24"/>
          <w:highlight w:val="none"/>
        </w:rPr>
        <w:t xml:space="preserve">，否则不予签订合同。</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30.2招标文件、中标人的投标文件及招标过程中有关澄清、承诺文件均应作为合同附件。</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30.3签订合同后，中标人不得将合同标的进行转包。未经采购人同意，中标人也不得采用分包的形式履行合同，否则采购人有权终止合同。转包造成采购人损失的，中标人应承担相应赔偿责任。</w:t>
      </w:r>
      <w:r/>
    </w:p>
    <w:p>
      <w:pPr>
        <w:ind w:firstLine="422"/>
        <w:keepLines/>
        <w:keepNex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31、服务（包含与服务相关的货物）的追加、减少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31.2采购结束后，采购人若由于各种客观原因，必须对采购项目所牵涉的服务进行适当的减少时，在双方协商一致的前提下，可以按照招标采购时的价格水平做相应的调减，并据此签订补充合同。</w:t>
      </w:r>
      <w:bookmarkEnd w:id="173"/>
      <w:r/>
      <w:bookmarkEnd w:id="174"/>
      <w:r/>
      <w:bookmarkEnd w:id="175"/>
      <w:r/>
      <w:r/>
    </w:p>
    <w:p>
      <w:pPr>
        <w:ind w:firstLine="422"/>
        <w:keepLines/>
        <w:keepNext/>
        <w:spacing w:line="360" w:lineRule="auto"/>
        <w:rPr>
          <w:rFonts w:hint="eastAsia" w:ascii="宋体" w:hAnsi="宋体" w:eastAsia="宋体" w:cs="宋体"/>
          <w:b/>
          <w:bCs/>
          <w:sz w:val="28"/>
          <w:szCs w:val="28"/>
          <w:highlight w:val="none"/>
        </w:rPr>
      </w:pPr>
      <w:r/>
      <w:bookmarkStart w:id="176" w:name="_Toc120614221"/>
      <w:r/>
      <w:bookmarkStart w:id="177" w:name="_Toc16938558"/>
      <w:r/>
      <w:bookmarkStart w:id="178" w:name="_Toc479757207"/>
      <w:r/>
      <w:bookmarkStart w:id="179" w:name="_Toc20823314"/>
      <w:r/>
      <w:bookmarkStart w:id="180" w:name="_Toc513029242"/>
      <w:r>
        <w:rPr>
          <w:rFonts w:hint="eastAsia" w:ascii="宋体" w:hAnsi="宋体" w:eastAsia="宋体" w:cs="宋体"/>
          <w:b/>
          <w:bCs/>
          <w:sz w:val="28"/>
          <w:szCs w:val="28"/>
          <w:highlight w:val="none"/>
        </w:rPr>
        <w:t xml:space="preserve">32、政府采购履约资金扶持政策</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hint="eastAsia" w:ascii="宋体" w:hAnsi="宋体" w:eastAsia="宋体" w:cs="宋体"/>
          <w:highlight w:val="none"/>
        </w:rPr>
      </w:pPr>
      <w:r>
        <w:rPr>
          <w:rFonts w:hint="eastAsia" w:ascii="宋体" w:hAnsi="宋体" w:eastAsia="宋体" w:cs="宋体"/>
          <w:color w:val="auto"/>
          <w:sz w:val="24"/>
          <w:szCs w:val="24"/>
          <w:highlight w:val="none"/>
        </w:rPr>
        <w:t xml:space="preserve">32.2本项目履约保证金</w:t>
      </w:r>
      <w:r>
        <w:rPr>
          <w:rFonts w:hint="eastAsia" w:ascii="宋体" w:hAnsi="宋体" w:eastAsia="宋体" w:cs="宋体"/>
          <w:color w:val="auto"/>
          <w:sz w:val="24"/>
          <w:szCs w:val="24"/>
          <w:highlight w:val="none"/>
          <w:u w:val="single"/>
        </w:rPr>
        <w:t xml:space="preserve"> 中标价</w:t>
      </w:r>
      <w:r>
        <w:rPr>
          <w:rFonts w:hint="eastAsia" w:ascii="宋体" w:hAnsi="宋体" w:eastAsia="宋体" w:cs="宋体"/>
          <w:color w:val="auto"/>
          <w:sz w:val="24"/>
          <w:szCs w:val="24"/>
          <w:highlight w:val="none"/>
          <w:u w:val="single"/>
          <w:lang w:val="en-US" w:eastAsia="zh-CN"/>
        </w:rPr>
        <w:t xml:space="preserve">的3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bookmarkEnd w:id="176"/>
      <w:bookmarkEnd w:id="177"/>
      <w:bookmarkEnd w:id="178"/>
      <w:bookmarkEnd w:id="179"/>
      <w:bookmarkEnd w:id="180"/>
      <w:r/>
    </w:p>
    <w:p>
      <w:pPr>
        <w:pStyle w:val="687"/>
        <w:spacing w:before="120" w:after="120" w:line="0" w:lineRule="atLeast"/>
        <w:rPr>
          <w:rFonts w:hint="eastAsia" w:ascii="宋体" w:hAnsi="宋体" w:eastAsia="宋体" w:cs="宋体"/>
          <w:b/>
          <w:sz w:val="44"/>
          <w:highlight w:val="none"/>
        </w:rPr>
        <w:sectPr>
          <w:footerReference w:type="default" r:id="rId11"/>
          <w:footnotePr/>
          <w:endnotePr/>
          <w:type w:val="nextPage"/>
          <w:pgSz w:w="11906" w:h="16838" w:orient="portrait"/>
          <w:pgMar w:top="1440" w:right="1186" w:bottom="1440" w:left="1220" w:header="851" w:footer="907" w:gutter="0"/>
          <w:pgNumType w:start="1"/>
          <w:cols w:num="1" w:sep="0" w:space="720" w:equalWidth="1"/>
          <w:docGrid w:linePitch="360"/>
        </w:sectPr>
        <w:outlineLvl w:val="0"/>
      </w:pPr>
      <w:r/>
      <w:bookmarkStart w:id="181" w:name="_Toc20823346"/>
      <w:r/>
      <w:bookmarkStart w:id="182" w:name="_Toc120614244"/>
      <w:r/>
      <w:bookmarkStart w:id="183" w:name="_Toc16938590"/>
      <w:r/>
      <w:bookmarkStart w:id="184" w:name="_Toc479757211"/>
      <w:r/>
      <w:bookmarkStart w:id="185" w:name="_Toc462564139"/>
      <w:r/>
      <w:r/>
    </w:p>
    <w:p>
      <w:pPr>
        <w:pStyle w:val="687"/>
        <w:jc w:val="center"/>
        <w:spacing w:before="120" w:after="120" w:line="0" w:lineRule="atLeast"/>
        <w:rPr>
          <w:rFonts w:hint="eastAsia" w:ascii="宋体" w:hAnsi="宋体" w:eastAsia="宋体" w:cs="宋体"/>
          <w:b/>
          <w:sz w:val="44"/>
          <w:highlight w:val="none"/>
        </w:rPr>
        <w:outlineLvl w:val="0"/>
      </w:pPr>
      <w:r/>
      <w:bookmarkStart w:id="186" w:name="_Toc186493269"/>
      <w:r>
        <w:rPr>
          <w:rFonts w:hint="eastAsia" w:ascii="宋体" w:hAnsi="宋体" w:eastAsia="宋体" w:cs="宋体"/>
          <w:b/>
          <w:sz w:val="44"/>
          <w:highlight w:val="none"/>
        </w:rPr>
        <w:t xml:space="preserve">第三章 采购需求</w:t>
      </w:r>
      <w:bookmarkEnd w:id="181"/>
      <w:r/>
      <w:bookmarkEnd w:id="182"/>
      <w:r/>
      <w:bookmarkEnd w:id="183"/>
      <w:r/>
      <w:bookmarkEnd w:id="186"/>
      <w:r/>
      <w:r/>
    </w:p>
    <w:p>
      <w:pPr>
        <w:numPr>
          <w:ilvl w:val="0"/>
          <w:numId w:val="0"/>
        </w:numPr>
        <w:spacing w:line="480" w:lineRule="exact"/>
        <w:rPr>
          <w:rFonts w:hint="eastAsia" w:ascii="宋体" w:hAnsi="宋体" w:eastAsia="宋体" w:cs="宋体"/>
          <w:sz w:val="24"/>
          <w:szCs w:val="24"/>
          <w:highlight w:val="none"/>
          <w:lang w:eastAsia="zh-CN"/>
        </w:rPr>
      </w:pPr>
      <w:r/>
      <w:bookmarkStart w:id="187" w:name="_Toc186493270"/>
      <w:r/>
      <w:bookmarkStart w:id="188" w:name="_Toc120614281"/>
      <w:r/>
      <w:bookmarkStart w:id="189" w:name="_Toc26554093"/>
      <w:r/>
      <w:bookmarkStart w:id="190" w:name="_Toc49090575"/>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监测范围</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江苏省南通市如东县洋口镇近岸海域，布设44个水质监测站位，22个沉积物监测站位，27个生态监测站位，27个生物体残留监测站位，27个渔业资源监测站位以及5条潮间带断面。其中水质站位依据《海洋监测规范》（GB 17378.3-2007）要求进行分层采样，挥发性酚、石油类仅采集表层样品。</w:t>
      </w:r>
      <w:r/>
    </w:p>
    <w:p>
      <w:pPr>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表1  监测站位表</w:t>
      </w:r>
      <w:r/>
    </w:p>
    <w:tbl>
      <w:tblPr>
        <w:tblStyle w:val="705"/>
        <w:tblW w:w="90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35"/>
        <w:gridCol w:w="2082"/>
        <w:gridCol w:w="4295"/>
      </w:tblGrid>
      <w:tr>
        <w:trPr>
          <w:trHeight w:val="330"/>
          <w:tblHeader/>
        </w:trPr>
        <w:tc>
          <w:tcPr>
            <w:tcW w:w="8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站位</w:t>
            </w:r>
            <w:r/>
          </w:p>
        </w:tc>
        <w:tc>
          <w:tcPr>
            <w:tcW w:w="183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X</w:t>
            </w:r>
            <w:r/>
          </w:p>
        </w:tc>
        <w:tc>
          <w:tcPr>
            <w:tcW w:w="2082"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Y</w:t>
            </w:r>
            <w:r/>
          </w:p>
        </w:tc>
        <w:tc>
          <w:tcPr>
            <w:tcW w:w="429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调查内容</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YK01</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120°59'24.000"E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32°38'6.000"N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YK02</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121°1'22.800"E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32°39'50.400"N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121°2'38.400"E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32°40'58.800"N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121°4'37.200"E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32°42'32.400"N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YK05</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121°6'33.743"E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32°44'26.508"N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b w:val="0"/>
                <w:bCs w:val="0"/>
                <w:color w:val="auto"/>
                <w:sz w:val="21"/>
                <w:szCs w:val="21"/>
                <w:highlight w:val="none"/>
              </w:rPr>
              <w:t xml:space="preserve">YK06</w:t>
            </w:r>
            <w:r>
              <w:rPr>
                <w:rFonts w:hint="eastAsia" w:ascii="Times New Roman" w:hAnsi="Times New Roman"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121°2'</w:t>
            </w:r>
            <w:r>
              <w:rPr>
                <w:rFonts w:hint="eastAsia" w:ascii="Times New Roman" w:hAnsi="Times New Roman" w:cs="Times New Roman"/>
                <w:color w:val="auto"/>
                <w:sz w:val="21"/>
                <w:szCs w:val="21"/>
                <w:highlight w:val="none"/>
                <w:lang w:val="en-US" w:eastAsia="zh-CN"/>
              </w:rPr>
              <w:t xml:space="preserve">20.398</w:t>
            </w:r>
            <w:r>
              <w:rPr>
                <w:rFonts w:ascii="Times New Roman" w:hAnsi="Times New Roman" w:cs="Times New Roman"/>
                <w:color w:val="auto"/>
                <w:sz w:val="21"/>
                <w:szCs w:val="21"/>
                <w:highlight w:val="none"/>
              </w:rPr>
              <w:t xml:space="preserve">"E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w:t>
            </w:r>
            <w:r>
              <w:rPr>
                <w:rFonts w:hint="eastAsia" w:ascii="Times New Roman" w:hAnsi="Times New Roman" w:cs="Times New Roman"/>
                <w:color w:val="auto"/>
                <w:sz w:val="21"/>
                <w:szCs w:val="21"/>
                <w:highlight w:val="none"/>
                <w:lang w:val="en-US" w:eastAsia="zh-CN"/>
              </w:rPr>
              <w:t xml:space="preserve">54.766</w:t>
            </w:r>
            <w:r>
              <w:rPr>
                <w:rFonts w:ascii="Times New Roman" w:hAnsi="Times New Roman" w:cs="Times New Roman"/>
                <w:color w:val="auto"/>
                <w:sz w:val="21"/>
                <w:szCs w:val="21"/>
                <w:highlight w:val="none"/>
              </w:rPr>
              <w:t xml:space="preserve">"N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YK07</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121°3'36.000"E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32°38'9.600"N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YK08</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121°5'13.200"E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32°39'36.000"N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YK09</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121°6'46.800"E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32°40'48.000"N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YK10</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121°8'</w:t>
            </w:r>
            <w:r>
              <w:rPr>
                <w:rFonts w:hint="eastAsia" w:ascii="Times New Roman" w:hAnsi="Times New Roman" w:cs="Times New Roman"/>
                <w:color w:val="auto"/>
                <w:sz w:val="21"/>
                <w:szCs w:val="21"/>
                <w:highlight w:val="none"/>
                <w:lang w:val="en-US" w:eastAsia="zh-CN"/>
              </w:rPr>
              <w:t xml:space="preserve">39.559</w:t>
            </w:r>
            <w:r>
              <w:rPr>
                <w:rFonts w:ascii="Times New Roman" w:hAnsi="Times New Roman" w:cs="Times New Roman"/>
                <w:color w:val="auto"/>
                <w:sz w:val="21"/>
                <w:szCs w:val="21"/>
                <w:highlight w:val="none"/>
              </w:rPr>
              <w:t xml:space="preserve">"E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w:t>
            </w:r>
            <w:r>
              <w:rPr>
                <w:rFonts w:hint="eastAsia" w:ascii="Times New Roman" w:hAnsi="Times New Roman" w:cs="Times New Roman"/>
                <w:color w:val="auto"/>
                <w:sz w:val="21"/>
                <w:szCs w:val="21"/>
                <w:highlight w:val="none"/>
                <w:lang w:val="en-US" w:eastAsia="zh-CN"/>
              </w:rPr>
              <w:t xml:space="preserve">3</w:t>
            </w:r>
            <w:r>
              <w:rPr>
                <w:rFonts w:ascii="Times New Roman" w:hAnsi="Times New Roman" w:cs="Times New Roman"/>
                <w:color w:val="auto"/>
                <w:sz w:val="21"/>
                <w:szCs w:val="21"/>
                <w:highlight w:val="none"/>
              </w:rPr>
              <w:t xml:space="preserve">'</w:t>
            </w:r>
            <w:r>
              <w:rPr>
                <w:rFonts w:hint="eastAsia" w:ascii="Times New Roman" w:hAnsi="Times New Roman" w:cs="Times New Roman"/>
                <w:color w:val="auto"/>
                <w:sz w:val="21"/>
                <w:szCs w:val="21"/>
                <w:highlight w:val="none"/>
                <w:lang w:val="en-US" w:eastAsia="zh-CN"/>
              </w:rPr>
              <w:t xml:space="preserve">8.096</w:t>
            </w:r>
            <w:r>
              <w:rPr>
                <w:rFonts w:ascii="Times New Roman" w:hAnsi="Times New Roman" w:cs="Times New Roman"/>
                <w:color w:val="auto"/>
                <w:sz w:val="21"/>
                <w:szCs w:val="21"/>
                <w:highlight w:val="none"/>
              </w:rPr>
              <w:t xml:space="preserve">"N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b w:val="0"/>
                <w:bCs w:val="0"/>
                <w:color w:val="auto"/>
                <w:sz w:val="21"/>
                <w:szCs w:val="21"/>
                <w:highlight w:val="none"/>
              </w:rPr>
              <w:t xml:space="preserve">YK11</w:t>
            </w:r>
            <w:r>
              <w:rPr>
                <w:rFonts w:hint="eastAsia" w:ascii="Times New Roman" w:hAnsi="Times New Roman"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121°3'25.200"E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32°34'33.600"N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eastAsia="宋体" w:cs="Times New Roman"/>
                <w:b w:val="0"/>
                <w:bCs w:val="0"/>
                <w:color w:val="auto"/>
                <w:sz w:val="21"/>
                <w:szCs w:val="21"/>
                <w:highlight w:val="none"/>
              </w:rPr>
              <w:t xml:space="preserve">YK12</w:t>
            </w:r>
            <w:r>
              <w:rPr>
                <w:rFonts w:hint="default" w:ascii="Times New Roman" w:hAnsi="Times New Roman" w:eastAsia="宋体"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121°4'16.210"E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32°35'39.543"N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YK13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121°5'52.800"E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32°36'50.400"N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YK14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121°7'8.400"E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32°38'6.000"N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YK15</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121°8'42.000"E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32°39'25.200"N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YK16</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121°10'56.420"E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32°41'40.458"N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b w:val="0"/>
                <w:bCs w:val="0"/>
                <w:color w:val="auto"/>
                <w:sz w:val="21"/>
                <w:szCs w:val="21"/>
                <w:highlight w:val="none"/>
              </w:rPr>
              <w:t xml:space="preserve">YK17</w:t>
            </w:r>
            <w:r>
              <w:rPr>
                <w:rFonts w:hint="eastAsia" w:ascii="Times New Roman" w:hAnsi="Times New Roman"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121°5'48.546"E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32°34'57.193"N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b w:val="0"/>
                <w:bCs w:val="0"/>
                <w:color w:val="auto"/>
                <w:sz w:val="21"/>
                <w:szCs w:val="21"/>
                <w:highlight w:val="none"/>
              </w:rPr>
              <w:t xml:space="preserve">YK18</w:t>
            </w:r>
            <w:r>
              <w:rPr>
                <w:rFonts w:hint="eastAsia" w:ascii="Times New Roman" w:hAnsi="Times New Roman"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121°6'22.160"E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32°35'56.724"N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b w:val="0"/>
                <w:bCs w:val="0"/>
                <w:color w:val="auto"/>
                <w:sz w:val="21"/>
                <w:szCs w:val="21"/>
                <w:highlight w:val="none"/>
              </w:rPr>
              <w:t xml:space="preserve">YK19</w:t>
            </w:r>
            <w:r>
              <w:rPr>
                <w:rFonts w:hint="eastAsia" w:ascii="Times New Roman" w:hAnsi="Times New Roman" w:cs="Times New Roman"/>
                <w:b w:val="0"/>
                <w:bCs w:val="0"/>
                <w:color w:val="auto"/>
                <w:sz w:val="21"/>
                <w:szCs w:val="21"/>
                <w:highlight w:val="none"/>
                <w:lang w:val="en-US" w:eastAsia="zh-CN"/>
              </w:rPr>
              <w:t xml:space="preserve">*</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121°7'12.065"E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32°36'33.561"N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YK20</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w:t>
            </w:r>
            <w:r>
              <w:rPr>
                <w:rFonts w:hint="eastAsia" w:ascii="Times New Roman" w:hAnsi="Times New Roman" w:cs="Times New Roman"/>
                <w:color w:val="auto"/>
                <w:sz w:val="21"/>
                <w:szCs w:val="21"/>
                <w:highlight w:val="none"/>
                <w:lang w:val="en-US" w:eastAsia="zh-CN"/>
              </w:rPr>
              <w:t xml:space="preserve">18.956</w:t>
            </w:r>
            <w:r>
              <w:rPr>
                <w:rFonts w:ascii="Times New Roman" w:hAnsi="Times New Roman" w:cs="Times New Roman"/>
                <w:color w:val="auto"/>
                <w:sz w:val="21"/>
                <w:szCs w:val="21"/>
                <w:highlight w:val="none"/>
              </w:rPr>
              <w:t xml:space="preserve">"E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w:t>
            </w:r>
            <w:r>
              <w:rPr>
                <w:rFonts w:hint="eastAsia" w:ascii="Times New Roman" w:hAnsi="Times New Roman" w:cs="Times New Roman"/>
                <w:color w:val="auto"/>
                <w:sz w:val="21"/>
                <w:szCs w:val="21"/>
                <w:highlight w:val="none"/>
                <w:lang w:val="en-US" w:eastAsia="zh-CN"/>
              </w:rPr>
              <w:t xml:space="preserve">4</w:t>
            </w:r>
            <w:r>
              <w:rPr>
                <w:rFonts w:ascii="Times New Roman" w:hAnsi="Times New Roman" w:cs="Times New Roman"/>
                <w:color w:val="auto"/>
                <w:sz w:val="21"/>
                <w:szCs w:val="21"/>
                <w:highlight w:val="none"/>
              </w:rPr>
              <w:t xml:space="preserve">'</w:t>
            </w:r>
            <w:r>
              <w:rPr>
                <w:rFonts w:hint="eastAsia" w:ascii="Times New Roman" w:hAnsi="Times New Roman" w:cs="Times New Roman"/>
                <w:color w:val="auto"/>
                <w:sz w:val="21"/>
                <w:szCs w:val="21"/>
                <w:highlight w:val="none"/>
                <w:lang w:val="en-US" w:eastAsia="zh-CN"/>
              </w:rPr>
              <w:t xml:space="preserve">0.742</w:t>
            </w:r>
            <w:r>
              <w:rPr>
                <w:rFonts w:ascii="Times New Roman" w:hAnsi="Times New Roman" w:cs="Times New Roman"/>
                <w:color w:val="auto"/>
                <w:sz w:val="21"/>
                <w:szCs w:val="21"/>
                <w:highlight w:val="none"/>
              </w:rPr>
              <w:t xml:space="preserve">"N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YK21</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121°6'58.366"E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32°34'34.071"N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YK22</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121°7'31.016"E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32°35'19.108"N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121°8'16.800"E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32°36'0.000"N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121°9'21.600"E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32°37'12.000"N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YK25</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121°10'40.800"E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32°38'9.600"N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YK26</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121°12'50.781"E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32°40'24.142"N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YK27</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121°8'18.880"E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32°34'0.228"N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YK28</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121°8'57.589"E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32°34'42.513"N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YK29</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121°9'28.265"E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32°35'24.176"N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YK30</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121°9'0.000"E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32°33'0.000"N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YK31</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121°10'19.200"E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32°34'15.600"N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YK32</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121°11'24.000"E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32°35'24.000"N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121°12'32.400"E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32°36'39.600"N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121°14'54.446"E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32°39'10.508"N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YK35</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w:t>
            </w:r>
            <w:r>
              <w:rPr>
                <w:rFonts w:hint="eastAsia" w:ascii="Times New Roman" w:hAnsi="Times New Roman" w:cs="Times New Roman"/>
                <w:color w:val="auto"/>
                <w:sz w:val="21"/>
                <w:szCs w:val="21"/>
                <w:highlight w:val="none"/>
                <w:lang w:val="en-US" w:eastAsia="zh-CN"/>
              </w:rPr>
              <w:t xml:space="preserve">7.083</w:t>
            </w:r>
            <w:r>
              <w:rPr>
                <w:rFonts w:ascii="Times New Roman" w:hAnsi="Times New Roman" w:cs="Times New Roman"/>
                <w:color w:val="auto"/>
                <w:sz w:val="21"/>
                <w:szCs w:val="21"/>
                <w:highlight w:val="none"/>
              </w:rPr>
              <w:t xml:space="preserve">"E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32°31'</w:t>
            </w:r>
            <w:r>
              <w:rPr>
                <w:rFonts w:hint="eastAsia" w:ascii="Times New Roman" w:hAnsi="Times New Roman" w:cs="Times New Roman"/>
                <w:color w:val="auto"/>
                <w:sz w:val="21"/>
                <w:szCs w:val="21"/>
                <w:highlight w:val="none"/>
                <w:lang w:val="en-US" w:eastAsia="zh-CN"/>
              </w:rPr>
              <w:t xml:space="preserve">10.418</w:t>
            </w:r>
            <w:r>
              <w:rPr>
                <w:rFonts w:ascii="Times New Roman" w:hAnsi="Times New Roman" w:cs="Times New Roman"/>
                <w:color w:val="auto"/>
                <w:sz w:val="21"/>
                <w:szCs w:val="21"/>
                <w:highlight w:val="none"/>
              </w:rPr>
              <w:t xml:space="preserve">"N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YK36</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121°12'58.963"E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32°32'29.192"N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YK37</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121°14'3.723"E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32°33'52.969"N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YK38</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121°15'36.694"E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32°35'35.761"N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YK39</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121°17'4.822"E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32°37'50.716"N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YK40</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121°14'</w:t>
            </w:r>
            <w:r>
              <w:rPr>
                <w:rFonts w:hint="eastAsia" w:ascii="Times New Roman" w:hAnsi="Times New Roman" w:cs="Times New Roman"/>
                <w:color w:val="auto"/>
                <w:sz w:val="21"/>
                <w:szCs w:val="21"/>
                <w:highlight w:val="none"/>
                <w:lang w:val="en-US" w:eastAsia="zh-CN"/>
              </w:rPr>
              <w:t xml:space="preserve">46.474</w:t>
            </w:r>
            <w:r>
              <w:rPr>
                <w:rFonts w:ascii="Times New Roman" w:hAnsi="Times New Roman" w:cs="Times New Roman"/>
                <w:color w:val="auto"/>
                <w:sz w:val="21"/>
                <w:szCs w:val="21"/>
                <w:highlight w:val="none"/>
              </w:rPr>
              <w:t xml:space="preserve">"E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32°29'</w:t>
            </w:r>
            <w:r>
              <w:rPr>
                <w:rFonts w:hint="eastAsia" w:ascii="Times New Roman" w:hAnsi="Times New Roman" w:cs="Times New Roman"/>
                <w:color w:val="auto"/>
                <w:sz w:val="21"/>
                <w:szCs w:val="21"/>
                <w:highlight w:val="none"/>
                <w:lang w:val="en-US" w:eastAsia="zh-CN"/>
              </w:rPr>
              <w:t xml:space="preserve">51.910</w:t>
            </w:r>
            <w:r>
              <w:rPr>
                <w:rFonts w:ascii="Times New Roman" w:hAnsi="Times New Roman" w:cs="Times New Roman"/>
                <w:color w:val="auto"/>
                <w:sz w:val="21"/>
                <w:szCs w:val="21"/>
                <w:highlight w:val="none"/>
              </w:rPr>
              <w:t xml:space="preserve">"N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YK41</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121°15'47.592"E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32°31'0.959"N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YK42</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121°16'58.084"E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32°32'39.809"N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YK43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121°18'4.900"E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32°34'10.780"N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rPr>
                <w:rFonts w:hint="eastAsia" w:ascii="Times New Roman" w:hAnsi="Times New Roman" w:cs="Times New Roman"/>
                <w:color w:val="auto"/>
                <w:sz w:val="21"/>
                <w:szCs w:val="21"/>
                <w:highlight w:val="none"/>
                <w:lang w:val="en-US" w:eastAsia="zh-CN"/>
              </w:rPr>
              <w:t xml:space="preserve">沉积物，</w:t>
            </w:r>
            <w:r>
              <w:rPr>
                <w:rFonts w:hint="eastAsia" w:ascii="Times New Roman" w:hAnsi="Times New Roman" w:cs="Times New Roman"/>
                <w:color w:val="auto"/>
                <w:sz w:val="21"/>
                <w:szCs w:val="21"/>
                <w:highlight w:val="none"/>
              </w:rPr>
              <w:t xml:space="preserve">生态及渔业资源</w:t>
            </w:r>
            <w:r>
              <w:rPr>
                <w:rFonts w:hint="eastAsia" w:ascii="Times New Roman" w:hAnsi="Times New Roman" w:cs="Times New Roman"/>
                <w:color w:val="auto"/>
                <w:sz w:val="21"/>
                <w:szCs w:val="21"/>
                <w:highlight w:val="none"/>
                <w:lang w:val="en-US" w:eastAsia="zh-CN"/>
              </w:rPr>
              <w:t xml:space="preserve">，生物体残留</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YK44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121°19'33.815"E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32°36'31.093"N</w:t>
            </w:r>
            <w:r/>
          </w:p>
        </w:tc>
        <w:tc>
          <w:tcPr>
            <w:tcW w:w="429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水</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YK-C1</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121°1'22.800"E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32°36'14.400"N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潮间带</w:t>
            </w:r>
            <w:r>
              <w:rPr>
                <w:rFonts w:hint="eastAsia" w:ascii="Times New Roman" w:hAnsi="Times New Roman" w:cs="Times New Roman"/>
                <w:color w:val="auto"/>
                <w:sz w:val="21"/>
                <w:szCs w:val="21"/>
                <w:highlight w:val="none"/>
                <w:lang w:val="en-US" w:eastAsia="zh-CN"/>
              </w:rPr>
              <w:t xml:space="preserve">生物</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YK-C2</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121°1'48.000"E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32°33'28.800"N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潮间带</w:t>
            </w:r>
            <w:r>
              <w:rPr>
                <w:rFonts w:hint="eastAsia" w:ascii="Times New Roman" w:hAnsi="Times New Roman" w:cs="Times New Roman"/>
                <w:color w:val="auto"/>
                <w:sz w:val="21"/>
                <w:szCs w:val="21"/>
                <w:highlight w:val="none"/>
                <w:lang w:val="en-US" w:eastAsia="zh-CN"/>
              </w:rPr>
              <w:t xml:space="preserve">生物</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YK-C3</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121°4'37.200"E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32°32'56.400"N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潮间带</w:t>
            </w:r>
            <w:r>
              <w:rPr>
                <w:rFonts w:hint="eastAsia" w:ascii="Times New Roman" w:hAnsi="Times New Roman" w:cs="Times New Roman"/>
                <w:color w:val="auto"/>
                <w:sz w:val="21"/>
                <w:szCs w:val="21"/>
                <w:highlight w:val="none"/>
                <w:lang w:val="en-US" w:eastAsia="zh-CN"/>
              </w:rPr>
              <w:t xml:space="preserve">生物</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YK-C4</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121°6'50.400"E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32°32'34.800"N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潮间带</w:t>
            </w:r>
            <w:r>
              <w:rPr>
                <w:rFonts w:hint="eastAsia" w:ascii="Times New Roman" w:hAnsi="Times New Roman" w:cs="Times New Roman"/>
                <w:color w:val="auto"/>
                <w:sz w:val="21"/>
                <w:szCs w:val="21"/>
                <w:highlight w:val="none"/>
                <w:lang w:val="en-US" w:eastAsia="zh-CN"/>
              </w:rPr>
              <w:t xml:space="preserve">生物</w:t>
            </w:r>
            <w:r/>
          </w:p>
        </w:tc>
      </w:tr>
      <w:tr>
        <w:trPr>
          <w:trHeight w:val="330"/>
        </w:trPr>
        <w:tc>
          <w:tcPr>
            <w:tcW w:w="850"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YK-C5</w:t>
            </w:r>
            <w:r/>
          </w:p>
        </w:tc>
        <w:tc>
          <w:tcPr>
            <w:tcW w:w="1835"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121°10'19.200"E</w:t>
            </w:r>
            <w:r/>
          </w:p>
        </w:tc>
        <w:tc>
          <w:tcPr>
            <w:tcW w:w="2082" w:type="dxa"/>
            <w:vAlign w:val="center"/>
            <w:textDirection w:val="lrTb"/>
            <w:noWrap/>
          </w:tcPr>
          <w:p>
            <w:pPr>
              <w:jc w:val="center"/>
              <w:rPr>
                <w:rFonts w:hint="eastAsia" w:ascii="宋体" w:hAnsi="宋体" w:eastAsia="宋体" w:cs="宋体"/>
                <w:sz w:val="21"/>
                <w:szCs w:val="21"/>
                <w:highlight w:val="none"/>
              </w:rPr>
            </w:pPr>
            <w:r>
              <w:rPr>
                <w:rFonts w:ascii="Times New Roman" w:hAnsi="Times New Roman" w:cs="Times New Roman"/>
                <w:color w:val="auto"/>
                <w:sz w:val="21"/>
                <w:szCs w:val="21"/>
                <w:highlight w:val="none"/>
              </w:rPr>
              <w:t xml:space="preserve">32°30'54.000"N</w:t>
            </w:r>
            <w:r/>
          </w:p>
        </w:tc>
        <w:tc>
          <w:tcPr>
            <w:tcW w:w="4295" w:type="dxa"/>
            <w:vAlign w:val="center"/>
            <w:textDirection w:val="lrTb"/>
            <w:noWrap/>
          </w:tcPr>
          <w:p>
            <w:pPr>
              <w:jc w:val="center"/>
              <w:rPr>
                <w:rFonts w:hint="eastAsia" w:ascii="宋体" w:hAnsi="宋体" w:eastAsia="宋体" w:cs="宋体"/>
                <w:sz w:val="21"/>
                <w:szCs w:val="21"/>
                <w:highlight w:val="none"/>
                <w:lang w:val="en-US" w:eastAsia="zh-CN"/>
              </w:rPr>
            </w:pPr>
            <w:r>
              <w:rPr>
                <w:rFonts w:ascii="Times New Roman" w:hAnsi="Times New Roman" w:cs="Times New Roman"/>
                <w:color w:val="auto"/>
                <w:sz w:val="21"/>
                <w:szCs w:val="21"/>
                <w:highlight w:val="none"/>
              </w:rPr>
              <w:t xml:space="preserve">潮间带</w:t>
            </w:r>
            <w:r>
              <w:rPr>
                <w:rFonts w:hint="eastAsia" w:ascii="Times New Roman" w:hAnsi="Times New Roman" w:cs="Times New Roman"/>
                <w:color w:val="auto"/>
                <w:sz w:val="21"/>
                <w:szCs w:val="21"/>
                <w:highlight w:val="none"/>
                <w:lang w:val="en-US" w:eastAsia="zh-CN"/>
              </w:rPr>
              <w:t xml:space="preserve">生物</w:t>
            </w:r>
            <w:r/>
          </w:p>
        </w:tc>
      </w:tr>
      <w:tr>
        <w:trPr>
          <w:trHeight w:val="330"/>
        </w:trPr>
        <w:tc>
          <w:tcPr>
            <w:gridSpan w:val="4"/>
            <w:tcW w:w="9062" w:type="dxa"/>
            <w:vAlign w:val="center"/>
            <w:textDirection w:val="lrTb"/>
            <w:noWrap/>
          </w:tcPr>
          <w:p>
            <w:pPr>
              <w:jc w:val="lef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备注：加*点位，增加</w:t>
            </w:r>
            <w:r>
              <w:rPr>
                <w:rFonts w:hint="eastAsia" w:cs="Times New Roman"/>
                <w:color w:val="auto"/>
                <w:sz w:val="21"/>
                <w:szCs w:val="21"/>
                <w:highlight w:val="none"/>
                <w:lang w:val="en-US" w:eastAsia="zh-CN"/>
              </w:rPr>
              <w:t xml:space="preserve">水中</w:t>
            </w:r>
            <w:r>
              <w:rPr>
                <w:rFonts w:hint="eastAsia" w:ascii="Times New Roman" w:hAnsi="Times New Roman" w:cs="Times New Roman"/>
                <w:color w:val="auto"/>
                <w:sz w:val="21"/>
                <w:szCs w:val="21"/>
                <w:highlight w:val="none"/>
                <w:lang w:val="en-US" w:eastAsia="zh-CN"/>
              </w:rPr>
              <w:t xml:space="preserve">萘、氯仿、二噁英类的监测</w:t>
            </w:r>
            <w:r/>
          </w:p>
        </w:tc>
      </w:tr>
    </w:tbl>
    <w:p>
      <w:pPr>
        <w:numPr>
          <w:ilvl w:val="0"/>
          <w:numId w:val="0"/>
        </w:num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二、监测项目及分析方法</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依据《建设项目海洋环境影响跟踪监测技术规程》，根据项目特征，选取有代表性的指标进行监测，具体如下：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1、监测项目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（1）水文监测项目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水深、水温、盐度。</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（2）水质监测项目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pH、溶解氧、悬浮物、化学需氧量、生化需氧量、铵盐（氨氮）、硝酸盐、亚硝酸盐、磷酸盐、总磷、石油类、挥发酚、氰化物、硫化物、铜、锌、铅、镉、铬、汞、砷、六六六、滴滴涕、多环芳烃、多氯联苯、六价铬、氯化物、苯胺、甲苯、硝基苯（加*点位，增加萘、氯仿、二噁英类的监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（3）沉积物监测项目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石油类、有机碳、硫化物、粒度、铜、锌、铅、镉、铬、汞、砷、镍。</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（4）生物体残留监测项目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铜、铅、锌、镉、总铬、汞、砷、石油烃；主要监测对象为贝类、鱼类、虾类。</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（5）生物及渔业资源调查项目</w:t>
      </w:r>
      <w:r/>
    </w:p>
    <w:p>
      <w:pPr>
        <w:ind w:firstLine="480"/>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叶绿素a、浮游植物、浮游动物、底栖生物、潮间带生物、鱼卵、仔稚鱼、游泳动物。</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2、分析方法</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所有样品的采集、保存、运输和分析均按照《海洋调查规范》、《近岸海域环境监测规范》、《海洋监测规范》的要求执行。</w:t>
      </w:r>
      <w:r/>
    </w:p>
    <w:p>
      <w:pPr>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表2　水文、水质监测项目分析方法</w:t>
      </w:r>
      <w:r/>
    </w:p>
    <w:tbl>
      <w:tblPr>
        <w:tblStyle w:val="677"/>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67"/>
        <w:gridCol w:w="3201"/>
        <w:gridCol w:w="3416"/>
      </w:tblGrid>
      <w:tr>
        <w:trPr>
          <w:jc w:val="center"/>
          <w:trHeight w:val="42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监测项目</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分析方法</w:t>
            </w:r>
            <w:r/>
          </w:p>
        </w:tc>
        <w:tc>
          <w:tcPr>
            <w:tcW w:w="190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引用标准</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水深</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矢锤法/船载测深仪法</w:t>
            </w:r>
            <w:r/>
          </w:p>
        </w:tc>
        <w:tc>
          <w:tcPr>
            <w:tcW w:w="190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12763.2-2007/4.8</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水温</w:t>
            </w:r>
            <w:r/>
          </w:p>
        </w:tc>
        <w:tc>
          <w:tcPr>
            <w:tcW w:w="1781" w:type="pct"/>
            <w:vAlign w:val="center"/>
            <w:textDirection w:val="lrTb"/>
            <w:noWrap w:val="false"/>
          </w:tcPr>
          <w:p>
            <w:pPr>
              <w:jc w:val="center"/>
              <w:spacing w:before="0" w:beforeAutospacing="0" w:after="0" w:afterAutospacing="0"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温度计法</w:t>
            </w:r>
            <w:r/>
          </w:p>
          <w:p>
            <w:pPr>
              <w:jc w:val="center"/>
              <w:spacing w:before="0" w:beforeAutospacing="0" w:after="0" w:afterAutospacing="0"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或温盐深仪（CTD）法</w:t>
            </w:r>
            <w:r/>
          </w:p>
        </w:tc>
        <w:tc>
          <w:tcPr>
            <w:tcW w:w="190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12763.2-2007</w:t>
            </w:r>
            <w:r>
              <w:rPr>
                <w:rFonts w:hint="eastAsia" w:ascii="宋体" w:hAnsi="宋体" w:eastAsia="宋体" w:cs="宋体"/>
                <w:color w:val="auto"/>
                <w:sz w:val="24"/>
                <w:szCs w:val="24"/>
                <w:highlight w:val="none"/>
                <w:lang w:val="en-US" w:eastAsia="zh-CN"/>
              </w:rPr>
              <w:t xml:space="preserve">/5</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盐度</w:t>
            </w:r>
            <w:r/>
          </w:p>
        </w:tc>
        <w:tc>
          <w:tcPr>
            <w:tcW w:w="1781" w:type="pct"/>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盐度计法</w:t>
            </w:r>
            <w:r/>
          </w:p>
        </w:tc>
        <w:tc>
          <w:tcPr>
            <w:tcW w:w="190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/29.1</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pH计法</w:t>
            </w:r>
            <w:r/>
          </w:p>
        </w:tc>
        <w:tc>
          <w:tcPr>
            <w:tcW w:w="190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/26</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溶解氧</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电极法</w:t>
            </w:r>
            <w:r>
              <w:rPr>
                <w:rFonts w:hint="eastAsia" w:ascii="宋体" w:hAnsi="宋体" w:eastAsia="宋体" w:cs="宋体"/>
                <w:color w:val="auto"/>
                <w:sz w:val="24"/>
                <w:szCs w:val="24"/>
                <w:highlight w:val="none"/>
                <w:lang w:val="en-US"/>
              </w:rPr>
              <w:t xml:space="preserve">或碘量法</w:t>
            </w:r>
            <w:r/>
          </w:p>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或碘量滴定法</w:t>
            </w:r>
            <w:r/>
          </w:p>
        </w:tc>
        <w:tc>
          <w:tcPr>
            <w:tcW w:w="1901" w:type="pct"/>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HJ 506-2009</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GB17378.4-2007/31</w:t>
            </w: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GB/T12763.4-2007/5</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悬浮物</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重量法</w:t>
            </w:r>
            <w:r/>
          </w:p>
        </w:tc>
        <w:tc>
          <w:tcPr>
            <w:tcW w:w="1901" w:type="pct"/>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GB/T 12763.4-2007/27</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或GB 17378.4-2007/27</w:t>
            </w:r>
            <w:r/>
          </w:p>
        </w:tc>
      </w:tr>
      <w:tr>
        <w:trPr>
          <w:jc w:val="center"/>
          <w:trHeight w:val="442"/>
        </w:trPr>
        <w:tc>
          <w:tcPr>
            <w:tcW w:w="1317"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化学需氧量</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碱性高锰酸钾法</w:t>
            </w:r>
            <w:r/>
          </w:p>
        </w:tc>
        <w:tc>
          <w:tcPr>
            <w:tcW w:w="1901" w:type="pct"/>
            <w:vAlign w:val="center"/>
            <w:textDirection w:val="lrTb"/>
            <w:noWrap w:val="false"/>
          </w:tcPr>
          <w:p>
            <w:pPr>
              <w:ind w:left="0" w:firstLine="0"/>
              <w:jc w:val="center"/>
              <w:spacing w:before="100" w:beforeAutospacing="1" w:after="100" w:afterAutospacing="1"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/32</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生化需氧量</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五日培养法</w:t>
            </w:r>
            <w:r/>
          </w:p>
        </w:tc>
        <w:tc>
          <w:tcPr>
            <w:tcW w:w="1901" w:type="pct"/>
            <w:vAlign w:val="center"/>
            <w:textDirection w:val="lrTb"/>
            <w:noWrap w:val="false"/>
          </w:tcPr>
          <w:p>
            <w:pPr>
              <w:ind w:left="0" w:firstLine="0"/>
              <w:jc w:val="center"/>
              <w:spacing w:before="100" w:beforeAutospacing="1" w:after="100" w:afterAutospacing="1"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/33.1</w:t>
            </w:r>
            <w:r/>
          </w:p>
        </w:tc>
      </w:tr>
      <w:tr>
        <w:trPr>
          <w:jc w:val="center"/>
          <w:trHeight w:val="442"/>
        </w:trPr>
        <w:tc>
          <w:tcPr>
            <w:tcW w:w="1317"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铵</w:t>
            </w:r>
            <w:r>
              <w:rPr>
                <w:rFonts w:hint="eastAsia" w:ascii="宋体" w:hAnsi="宋体" w:cs="宋体"/>
                <w:color w:val="auto"/>
                <w:sz w:val="24"/>
                <w:szCs w:val="24"/>
                <w:highlight w:val="none"/>
                <w:lang w:val="en-US" w:eastAsia="zh-CN"/>
              </w:rPr>
              <w:t xml:space="preserve">盐</w:t>
            </w:r>
            <w:r>
              <w:rPr>
                <w:rFonts w:hint="eastAsia" w:ascii="宋体" w:hAnsi="宋体" w:eastAsia="宋体" w:cs="宋体"/>
                <w:color w:val="auto"/>
                <w:sz w:val="24"/>
                <w:szCs w:val="24"/>
                <w:highlight w:val="none"/>
                <w:lang w:val="en-US" w:eastAsia="zh-CN"/>
              </w:rPr>
              <w:t xml:space="preserve">(氨氮)</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流动分析法</w:t>
            </w:r>
            <w:r/>
          </w:p>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或次溴酸盐氧化法</w:t>
            </w:r>
            <w:r/>
          </w:p>
        </w:tc>
        <w:tc>
          <w:tcPr>
            <w:tcW w:w="3436" w:type="dxa"/>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/9.1</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 17378.4-2007/36.2</w:t>
            </w:r>
            <w:r/>
          </w:p>
        </w:tc>
      </w:tr>
      <w:tr>
        <w:trPr>
          <w:jc w:val="center"/>
          <w:trHeight w:val="442"/>
        </w:trPr>
        <w:tc>
          <w:tcPr>
            <w:tcW w:w="1317"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硝酸盐</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流动分析法或锌-镉还原法</w:t>
            </w:r>
            <w:r/>
          </w:p>
        </w:tc>
        <w:tc>
          <w:tcPr>
            <w:tcW w:w="3436" w:type="dxa"/>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/8.1</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 17378.4-2007/38.2</w:t>
            </w:r>
            <w:r/>
          </w:p>
        </w:tc>
      </w:tr>
      <w:tr>
        <w:trPr>
          <w:jc w:val="center"/>
          <w:trHeight w:val="442"/>
        </w:trPr>
        <w:tc>
          <w:tcPr>
            <w:tcW w:w="1317"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亚硝酸盐</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流动分析法</w:t>
            </w:r>
            <w:r/>
          </w:p>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或萘乙二胺分光光度法</w:t>
            </w:r>
            <w:r/>
          </w:p>
        </w:tc>
        <w:tc>
          <w:tcPr>
            <w:tcW w:w="3436" w:type="dxa"/>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/7.1</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 17378.4-2007/37</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磷酸盐</w:t>
            </w:r>
            <w:r/>
          </w:p>
        </w:tc>
        <w:tc>
          <w:tcPr>
            <w:tcW w:w="178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流动分析法</w:t>
            </w:r>
            <w:r/>
          </w:p>
          <w:p>
            <w:pPr>
              <w:ind w:left="-680" w:firstLine="68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或磷钼蓝分光光度法</w:t>
            </w:r>
            <w:r/>
          </w:p>
        </w:tc>
        <w:tc>
          <w:tcPr>
            <w:tcW w:w="3436" w:type="dxa"/>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/10.1</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 17378.4-2007/39.1</w:t>
            </w:r>
            <w:r/>
          </w:p>
        </w:tc>
      </w:tr>
      <w:tr>
        <w:trPr>
          <w:jc w:val="center"/>
          <w:trHeight w:val="13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总磷</w:t>
            </w:r>
            <w:r/>
          </w:p>
        </w:tc>
        <w:tc>
          <w:tcPr>
            <w:tcW w:w="1781" w:type="pct"/>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流动分析法</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或过硫酸钾氧化法</w:t>
            </w:r>
            <w:r/>
          </w:p>
        </w:tc>
        <w:tc>
          <w:tcPr>
            <w:tcW w:w="3436" w:type="dxa"/>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147.1-2013/13</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rPr>
              <w:t xml:space="preserve">GB 17378.4-2007/40</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石油类</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紫外分光光度法</w:t>
            </w:r>
            <w:r/>
          </w:p>
        </w:tc>
        <w:tc>
          <w:tcPr>
            <w:tcW w:w="1901" w:type="pct"/>
            <w:vAlign w:val="center"/>
            <w:textDirection w:val="lrTb"/>
            <w:noWrap w:val="false"/>
          </w:tcPr>
          <w:p>
            <w:pPr>
              <w:ind w:left="0" w:firstLine="0"/>
              <w:jc w:val="center"/>
              <w:spacing w:before="100" w:beforeAutospacing="1" w:after="100" w:afterAutospacing="1"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/13.2</w:t>
            </w:r>
            <w:r/>
          </w:p>
        </w:tc>
      </w:tr>
      <w:tr>
        <w:trPr>
          <w:jc w:val="center"/>
          <w:trHeight w:val="442"/>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氰化物</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异烟酸-吡唑啉酮分光光度法</w:t>
            </w:r>
            <w:r/>
          </w:p>
        </w:tc>
        <w:tc>
          <w:tcPr>
            <w:tcW w:w="1901" w:type="pct"/>
            <w:vAlign w:val="center"/>
            <w:textDirection w:val="lrTb"/>
            <w:noWrap w:val="false"/>
          </w:tcPr>
          <w:p>
            <w:pPr>
              <w:jc w:val="center"/>
              <w:spacing w:before="100" w:beforeAutospacing="1" w:after="100" w:afterAutospacing="1"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17378.4-2007/20.1</w:t>
            </w:r>
            <w:r/>
          </w:p>
        </w:tc>
      </w:tr>
      <w:tr>
        <w:trPr>
          <w:jc w:val="center"/>
          <w:trHeight w:val="419"/>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挥发酚</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4-氨基安替比林分光光度法</w:t>
            </w:r>
            <w:r/>
          </w:p>
        </w:tc>
        <w:tc>
          <w:tcPr>
            <w:tcW w:w="1901" w:type="pct"/>
            <w:vAlign w:val="center"/>
            <w:textDirection w:val="lrTb"/>
            <w:noWrap w:val="false"/>
          </w:tcPr>
          <w:p>
            <w:pPr>
              <w:ind w:left="0" w:firstLine="0"/>
              <w:jc w:val="center"/>
              <w:spacing w:before="100" w:beforeAutospacing="1" w:after="100" w:afterAutospacing="1"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/19</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硫化物</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亚甲基蓝分光光度法</w:t>
            </w:r>
            <w:r/>
          </w:p>
        </w:tc>
        <w:tc>
          <w:tcPr>
            <w:tcW w:w="1901" w:type="pct"/>
            <w:vAlign w:val="center"/>
            <w:textDirection w:val="lrTb"/>
            <w:noWrap w:val="false"/>
          </w:tcPr>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GB 17378.4—2007/18.1</w:t>
            </w:r>
            <w:r/>
          </w:p>
          <w:p>
            <w:pPr>
              <w:ind w:left="-680" w:firstLine="680"/>
              <w:jc w:val="center"/>
              <w:spacing w:before="0" w:beforeAutospacing="0" w:after="0" w:afterAutospacing="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或HJ 1226-2021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w:t>
            </w:r>
            <w:r/>
          </w:p>
        </w:tc>
        <w:tc>
          <w:tcPr>
            <w:tcW w:w="1781" w:type="pct"/>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电感耦合等离子质谱法</w:t>
            </w:r>
            <w:r>
              <w:rPr>
                <w:rFonts w:hint="eastAsia" w:ascii="宋体" w:hAnsi="宋体" w:eastAsia="宋体" w:cs="宋体"/>
                <w:color w:val="auto"/>
                <w:sz w:val="24"/>
                <w:szCs w:val="24"/>
                <w:highlight w:val="none"/>
                <w:lang w:val="en-US"/>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无火焰原子吸收分光光度法</w:t>
            </w:r>
            <w:r/>
          </w:p>
        </w:tc>
        <w:tc>
          <w:tcPr>
            <w:tcW w:w="343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/5或</w:t>
            </w:r>
            <w:r>
              <w:rPr>
                <w:rFonts w:hint="eastAsia" w:ascii="宋体" w:hAnsi="宋体" w:eastAsia="宋体" w:cs="宋体"/>
                <w:color w:val="auto"/>
                <w:sz w:val="24"/>
                <w:szCs w:val="24"/>
                <w:highlight w:val="none"/>
              </w:rPr>
              <w:t xml:space="preserve">GB17378.4-2007/6.1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锌</w:t>
            </w:r>
            <w:r/>
          </w:p>
        </w:tc>
        <w:tc>
          <w:tcPr>
            <w:tcW w:w="1781" w:type="pct"/>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电感耦合等离子质谱法</w:t>
            </w:r>
            <w:r>
              <w:rPr>
                <w:rFonts w:hint="eastAsia" w:ascii="宋体" w:hAnsi="宋体" w:eastAsia="宋体" w:cs="宋体"/>
                <w:color w:val="auto"/>
                <w:sz w:val="24"/>
                <w:szCs w:val="24"/>
                <w:highlight w:val="none"/>
                <w:lang w:val="en-US"/>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无火焰原子吸收分光光度法</w:t>
            </w:r>
            <w:r/>
          </w:p>
        </w:tc>
        <w:tc>
          <w:tcPr>
            <w:tcW w:w="343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/5或</w:t>
            </w:r>
            <w:r>
              <w:rPr>
                <w:rFonts w:hint="eastAsia" w:ascii="宋体" w:hAnsi="宋体" w:eastAsia="宋体" w:cs="宋体"/>
                <w:color w:val="auto"/>
                <w:sz w:val="24"/>
                <w:szCs w:val="24"/>
                <w:highlight w:val="none"/>
              </w:rPr>
              <w:t xml:space="preserve">GB1787842007/9.1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铅</w:t>
            </w:r>
            <w:r/>
          </w:p>
        </w:tc>
        <w:tc>
          <w:tcPr>
            <w:tcW w:w="1781" w:type="pct"/>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电感耦合等离子质谱法</w:t>
            </w:r>
            <w:r>
              <w:rPr>
                <w:rFonts w:hint="eastAsia" w:ascii="宋体" w:hAnsi="宋体" w:eastAsia="宋体" w:cs="宋体"/>
                <w:color w:val="auto"/>
                <w:sz w:val="24"/>
                <w:szCs w:val="24"/>
                <w:highlight w:val="none"/>
                <w:lang w:val="en-US"/>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无火焰原子吸收分光光度法</w:t>
            </w:r>
            <w:r/>
          </w:p>
        </w:tc>
        <w:tc>
          <w:tcPr>
            <w:tcW w:w="343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/5或</w:t>
            </w:r>
            <w:r>
              <w:rPr>
                <w:rFonts w:hint="eastAsia" w:ascii="宋体" w:hAnsi="宋体" w:eastAsia="宋体" w:cs="宋体"/>
                <w:color w:val="auto"/>
                <w:sz w:val="24"/>
                <w:szCs w:val="24"/>
                <w:highlight w:val="none"/>
              </w:rPr>
              <w:t xml:space="preserve">GB17378.4-2007/7.1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镉</w:t>
            </w:r>
            <w:r/>
          </w:p>
        </w:tc>
        <w:tc>
          <w:tcPr>
            <w:tcW w:w="1781" w:type="pct"/>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电感耦合等离子质谱法</w:t>
            </w:r>
            <w:r>
              <w:rPr>
                <w:rFonts w:hint="eastAsia" w:ascii="宋体" w:hAnsi="宋体" w:eastAsia="宋体" w:cs="宋体"/>
                <w:color w:val="auto"/>
                <w:sz w:val="24"/>
                <w:szCs w:val="24"/>
                <w:highlight w:val="none"/>
                <w:lang w:val="en-US"/>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无火焰原子吸收分光光度法</w:t>
            </w:r>
            <w:r/>
          </w:p>
        </w:tc>
        <w:tc>
          <w:tcPr>
            <w:tcW w:w="343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/5或GB17378.4 2007/8.1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铬</w:t>
            </w:r>
            <w:r/>
          </w:p>
        </w:tc>
        <w:tc>
          <w:tcPr>
            <w:tcW w:w="1781" w:type="pct"/>
            <w:vAlign w:val="center"/>
            <w:textDirection w:val="lrTb"/>
            <w:noWrap w:val="false"/>
          </w:tcPr>
          <w:p>
            <w:pPr>
              <w:jc w:val="center"/>
              <w:spacing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电感耦合等离子质谱法</w:t>
            </w:r>
            <w:r>
              <w:rPr>
                <w:rFonts w:hint="eastAsia" w:ascii="宋体" w:hAnsi="宋体" w:eastAsia="宋体" w:cs="宋体"/>
                <w:color w:val="auto"/>
                <w:sz w:val="24"/>
                <w:szCs w:val="24"/>
                <w:highlight w:val="none"/>
                <w:lang w:val="en-US"/>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无火焰原子吸收分光光度法</w:t>
            </w:r>
            <w:r/>
          </w:p>
        </w:tc>
        <w:tc>
          <w:tcPr>
            <w:tcW w:w="343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rPr>
              <w:t xml:space="preserve">/5或GB17378.4-2007/10.1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汞</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原子荧光法</w:t>
            </w:r>
            <w:r/>
          </w:p>
        </w:tc>
        <w:tc>
          <w:tcPr>
            <w:tcW w:w="1901" w:type="pct"/>
            <w:vAlign w:val="center"/>
            <w:textDirection w:val="lrTb"/>
            <w:noWrap w:val="false"/>
          </w:tcPr>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/5.1</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砷</w:t>
            </w:r>
            <w:r/>
          </w:p>
        </w:tc>
        <w:tc>
          <w:tcPr>
            <w:tcW w:w="1781" w:type="pct"/>
            <w:vAlign w:val="center"/>
            <w:textDirection w:val="lrTb"/>
            <w:noWrap w:val="false"/>
          </w:tcPr>
          <w:p>
            <w:pPr>
              <w:jc w:val="center"/>
              <w:spacing w:line="240" w:lineRule="atLeast"/>
              <w:widowControl/>
              <w:rPr>
                <w:rFonts w:hint="eastAsia" w:ascii="宋体" w:hAnsi="宋体" w:eastAsia="宋体" w:cs="宋体"/>
                <w:highlight w:val="none"/>
              </w:rPr>
            </w:pPr>
            <w:r>
              <w:rPr>
                <w:rFonts w:hint="eastAsia" w:ascii="宋体" w:hAnsi="宋体" w:eastAsia="宋体" w:cs="宋体"/>
                <w:color w:val="auto"/>
                <w:sz w:val="24"/>
                <w:szCs w:val="24"/>
                <w:highlight w:val="none"/>
              </w:rPr>
              <w:t xml:space="preserve">原子荧光法</w:t>
            </w:r>
            <w:r>
              <w:rPr>
                <w:rFonts w:hint="eastAsia" w:ascii="宋体" w:hAnsi="宋体" w:eastAsia="宋体" w:cs="宋体"/>
                <w:color w:val="auto"/>
                <w:sz w:val="24"/>
                <w:szCs w:val="24"/>
                <w:highlight w:val="none"/>
                <w:lang w:val="en-US" w:eastAsia="zh-CN"/>
              </w:rPr>
              <w:t xml:space="preserve">或</w:t>
            </w:r>
            <w:r/>
          </w:p>
          <w:p>
            <w:pPr>
              <w:jc w:val="center"/>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电感耦合等离子质谱法</w:t>
            </w:r>
            <w:r/>
          </w:p>
        </w:tc>
        <w:tc>
          <w:tcPr>
            <w:tcW w:w="1901" w:type="pct"/>
            <w:vAlign w:val="center"/>
            <w:textDirection w:val="lrTb"/>
            <w:noWrap w:val="false"/>
          </w:tcPr>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 17378.4-2007</w:t>
            </w:r>
            <w:r>
              <w:rPr>
                <w:rFonts w:hint="eastAsia" w:ascii="宋体" w:hAnsi="宋体" w:eastAsia="宋体" w:cs="宋体"/>
                <w:color w:val="auto"/>
                <w:sz w:val="24"/>
                <w:szCs w:val="24"/>
                <w:highlight w:val="none"/>
                <w:lang w:val="en-US" w:eastAsia="zh-CN"/>
              </w:rPr>
              <w:t xml:space="preserve">/11.1</w:t>
            </w:r>
            <w:r/>
          </w:p>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HY/T 147.1-2013</w:t>
            </w:r>
            <w:r>
              <w:rPr>
                <w:rFonts w:hint="eastAsia" w:ascii="宋体" w:hAnsi="宋体" w:eastAsia="宋体" w:cs="宋体"/>
                <w:color w:val="auto"/>
                <w:sz w:val="24"/>
                <w:szCs w:val="24"/>
                <w:highlight w:val="none"/>
                <w:lang w:val="en-US" w:eastAsia="zh-CN"/>
              </w:rPr>
              <w:t xml:space="preserve">/5</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六价铬</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二苯碳酰二肼分光光度法</w:t>
            </w:r>
            <w:r/>
          </w:p>
        </w:tc>
        <w:tc>
          <w:tcPr>
            <w:tcW w:w="1901" w:type="pct"/>
            <w:vAlign w:val="center"/>
            <w:textDirection w:val="lrTb"/>
            <w:noWrap w:val="false"/>
          </w:tcPr>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7467-1987</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氯化物</w:t>
            </w:r>
            <w:r/>
          </w:p>
        </w:tc>
        <w:tc>
          <w:tcPr>
            <w:tcW w:w="1781" w:type="pct"/>
            <w:vAlign w:val="center"/>
            <w:textDirection w:val="lrTb"/>
            <w:noWrap w:val="false"/>
          </w:tcPr>
          <w:p>
            <w:pPr>
              <w:jc w:val="center"/>
              <w:spacing w:before="0" w:beforeAutospacing="0" w:after="0" w:afterAutospacing="0" w:line="240" w:lineRule="atLeas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硝酸银滴定法</w:t>
            </w:r>
            <w:r>
              <w:rPr>
                <w:rFonts w:hint="eastAsia" w:ascii="宋体" w:hAnsi="宋体" w:eastAsia="宋体" w:cs="宋体"/>
                <w:color w:val="auto"/>
                <w:sz w:val="24"/>
                <w:szCs w:val="24"/>
                <w:highlight w:val="none"/>
                <w:lang w:val="en-US"/>
              </w:rPr>
              <w:t xml:space="preserve">或</w:t>
            </w:r>
            <w:r/>
          </w:p>
          <w:p>
            <w:pPr>
              <w:jc w:val="center"/>
              <w:spacing w:before="0" w:beforeAutospacing="0" w:after="0" w:afterAutospacing="0"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银量滴定法</w:t>
            </w:r>
            <w:r/>
          </w:p>
        </w:tc>
        <w:tc>
          <w:tcPr>
            <w:tcW w:w="1901" w:type="pct"/>
            <w:vAlign w:val="center"/>
            <w:textDirection w:val="lrTb"/>
            <w:noWrap w:val="false"/>
          </w:tcPr>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11896—89</w:t>
            </w: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GB17378.4-2007/28</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苯胺</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N-(1-萘基)乙二胺偶氮分光光度法</w:t>
            </w:r>
            <w:r>
              <w:rPr>
                <w:rFonts w:hint="eastAsia" w:ascii="宋体" w:hAnsi="宋体" w:eastAsia="宋体" w:cs="宋体"/>
                <w:color w:val="auto"/>
                <w:sz w:val="24"/>
                <w:szCs w:val="24"/>
                <w:highlight w:val="none"/>
                <w:lang w:val="en-US"/>
              </w:rPr>
              <w:t xml:space="preserve">或气相色谱-质谱法</w:t>
            </w:r>
            <w:r/>
          </w:p>
        </w:tc>
        <w:tc>
          <w:tcPr>
            <w:tcW w:w="1901" w:type="pct"/>
            <w:vAlign w:val="center"/>
            <w:textDirection w:val="lrTb"/>
            <w:noWrap w:val="false"/>
          </w:tcPr>
          <w:p>
            <w:pPr>
              <w:ind w:left="0" w:firstLine="0"/>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11889-1989</w:t>
            </w:r>
            <w:r>
              <w:rPr>
                <w:rFonts w:hint="eastAsia" w:ascii="宋体" w:hAnsi="宋体" w:eastAsia="宋体" w:cs="宋体"/>
                <w:color w:val="auto"/>
                <w:sz w:val="24"/>
                <w:szCs w:val="24"/>
                <w:highlight w:val="none"/>
                <w:lang w:val="en-US"/>
              </w:rPr>
              <w:t xml:space="preserve">或HJ822-2017</w:t>
            </w:r>
            <w:r/>
          </w:p>
        </w:tc>
      </w:tr>
      <w:tr>
        <w:trPr>
          <w:jc w:val="center"/>
          <w:trHeight w:val="7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甲苯</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HJ 1067-2019 </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硝基苯</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HJ</w:t>
            </w:r>
            <w:r>
              <w:rPr>
                <w:rFonts w:hint="eastAsia" w:ascii="宋体" w:hAnsi="宋体" w:eastAsia="宋体" w:cs="宋体"/>
                <w:color w:val="auto"/>
                <w:sz w:val="24"/>
                <w:szCs w:val="24"/>
                <w:highlight w:val="none"/>
                <w:lang w:val="en-US" w:eastAsia="zh-CN"/>
              </w:rPr>
              <w:t xml:space="preserve"> 648</w:t>
            </w: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3</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六六六</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17378.4-2007</w:t>
            </w:r>
            <w:r>
              <w:rPr>
                <w:rFonts w:hint="eastAsia" w:ascii="宋体" w:hAnsi="宋体" w:eastAsia="宋体" w:cs="宋体"/>
                <w:color w:val="auto"/>
                <w:sz w:val="24"/>
                <w:szCs w:val="24"/>
                <w:highlight w:val="none"/>
                <w:lang w:val="en-US" w:eastAsia="zh-CN"/>
              </w:rPr>
              <w:t xml:space="preserve">/14</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滴滴涕</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17378.4-2007</w:t>
            </w:r>
            <w:r>
              <w:rPr>
                <w:rFonts w:hint="eastAsia" w:ascii="宋体" w:hAnsi="宋体" w:eastAsia="宋体" w:cs="宋体"/>
                <w:color w:val="auto"/>
                <w:sz w:val="24"/>
                <w:szCs w:val="24"/>
                <w:highlight w:val="none"/>
                <w:lang w:val="en-US" w:eastAsia="zh-CN"/>
              </w:rPr>
              <w:t xml:space="preserve">/14</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多环芳烃</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气相色谱-质谱法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26411-2010</w:t>
            </w:r>
            <w:r/>
          </w:p>
        </w:tc>
      </w:tr>
      <w:tr>
        <w:trPr>
          <w:jc w:val="center"/>
          <w:trHeight w:val="440"/>
        </w:trPr>
        <w:tc>
          <w:tcPr>
            <w:tcW w:w="1317"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多氯联苯</w:t>
            </w:r>
            <w:r/>
          </w:p>
        </w:tc>
        <w:tc>
          <w:tcPr>
            <w:tcW w:w="1781" w:type="pct"/>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气相色谱法</w:t>
            </w:r>
            <w:r/>
          </w:p>
        </w:tc>
        <w:tc>
          <w:tcPr>
            <w:tcW w:w="1901" w:type="pct"/>
            <w:vAlign w:val="center"/>
            <w:textDirection w:val="lrTb"/>
            <w:noWrap w:val="false"/>
          </w:tcPr>
          <w:p>
            <w:pPr>
              <w:ind w:left="-680" w:firstLine="68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HY/T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147.1-2013</w:t>
            </w:r>
            <w:r>
              <w:rPr>
                <w:rFonts w:hint="eastAsia" w:ascii="宋体" w:hAnsi="宋体" w:eastAsia="宋体" w:cs="宋体"/>
                <w:color w:val="auto"/>
                <w:sz w:val="24"/>
                <w:szCs w:val="24"/>
                <w:highlight w:val="none"/>
                <w:lang w:val="en-US" w:eastAsia="zh-CN"/>
              </w:rPr>
              <w:t xml:space="preserve">/19</w:t>
            </w:r>
            <w:r/>
          </w:p>
          <w:p>
            <w:pPr>
              <w:ind w:left="-680" w:firstLine="6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或GB 17378.4-2007/15</w:t>
            </w:r>
            <w:r/>
          </w:p>
        </w:tc>
      </w:tr>
      <w:tr>
        <w:trPr>
          <w:jc w:val="center"/>
          <w:trHeight w:val="440"/>
        </w:trPr>
        <w:tc>
          <w:tcPr>
            <w:tcW w:w="2367"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萘</w:t>
            </w:r>
            <w:r/>
          </w:p>
        </w:tc>
        <w:tc>
          <w:tcPr>
            <w:tcW w:w="3201"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高效液相色谱法 </w:t>
            </w:r>
            <w:r/>
          </w:p>
        </w:tc>
        <w:tc>
          <w:tcPr>
            <w:tcW w:w="3416" w:type="dxa"/>
            <w:vAlign w:val="center"/>
            <w:textDirection w:val="lrTb"/>
            <w:noWrap w:val="false"/>
          </w:tcPr>
          <w:p>
            <w:pPr>
              <w:jc w:val="center"/>
              <w:spacing w:before="100" w:beforeAutospacing="1" w:after="100" w:afterAutospacing="1" w:line="360" w:lineRule="atLeas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HJ 639-2012</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HJ 478-2009</w:t>
            </w:r>
            <w:r/>
          </w:p>
        </w:tc>
      </w:tr>
      <w:tr>
        <w:trPr>
          <w:jc w:val="center"/>
          <w:trHeight w:val="440"/>
        </w:trPr>
        <w:tc>
          <w:tcPr>
            <w:tcW w:w="2367"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氯仿</w:t>
            </w:r>
            <w:r/>
          </w:p>
        </w:tc>
        <w:tc>
          <w:tcPr>
            <w:tcW w:w="3201"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气</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"https://www.mee.gov.cn/ywgz/fgbz/bz/bzwb/jcffbz/201212/W020121207619151887949.pdf"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相色谱-质谱法</w:t>
            </w:r>
            <w:r>
              <w:rPr>
                <w:rFonts w:hint="eastAsia" w:ascii="宋体" w:hAnsi="宋体" w:eastAsia="宋体" w:cs="宋体"/>
                <w:color w:val="auto"/>
                <w:sz w:val="24"/>
                <w:szCs w:val="24"/>
                <w:highlight w:val="none"/>
              </w:rPr>
              <w:fldChar w:fldCharType="end"/>
            </w:r>
            <w:r/>
          </w:p>
        </w:tc>
        <w:tc>
          <w:tcPr>
            <w:tcW w:w="341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HJ 639-2012</w:t>
            </w:r>
            <w:r/>
          </w:p>
        </w:tc>
      </w:tr>
      <w:tr>
        <w:trPr>
          <w:jc w:val="center"/>
          <w:trHeight w:val="440"/>
        </w:trPr>
        <w:tc>
          <w:tcPr>
            <w:tcW w:w="2367"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二噁英类</w:t>
            </w:r>
            <w:r/>
          </w:p>
        </w:tc>
        <w:tc>
          <w:tcPr>
            <w:tcW w:w="3201"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同位素稀释高分辨气相色谱-高分辨质谱法</w:t>
            </w:r>
            <w:r/>
          </w:p>
        </w:tc>
        <w:tc>
          <w:tcPr>
            <w:tcW w:w="3416"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HJ 77.1－2008</w:t>
            </w:r>
            <w:r/>
          </w:p>
        </w:tc>
      </w:tr>
    </w:tbl>
    <w:p>
      <w:pPr>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表3　沉积物监测项目分析方法</w:t>
      </w:r>
      <w:r/>
    </w:p>
    <w:tbl>
      <w:tblPr>
        <w:tblStyle w:val="677"/>
        <w:tblW w:w="8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3377"/>
        <w:gridCol w:w="3282"/>
      </w:tblGrid>
      <w:tr>
        <w:trPr>
          <w:jc w:val="center"/>
          <w:trHeight w:val="442"/>
          <w:tblHeader/>
        </w:trPr>
        <w:tc>
          <w:tcPr>
            <w:tcW w:w="2093" w:type="dxa"/>
            <w:vAlign w:val="center"/>
            <w:textDirection w:val="lrTb"/>
            <w:noWrap w:val="false"/>
          </w:tcPr>
          <w:p>
            <w:pPr>
              <w:jc w:val="center"/>
              <w:spacing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监测项目</w:t>
            </w:r>
            <w:r/>
          </w:p>
        </w:tc>
        <w:tc>
          <w:tcPr>
            <w:tcW w:w="3377" w:type="dxa"/>
            <w:vAlign w:val="center"/>
            <w:textDirection w:val="lrTb"/>
            <w:noWrap w:val="false"/>
          </w:tcPr>
          <w:p>
            <w:pPr>
              <w:jc w:val="center"/>
              <w:spacing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分析方法</w:t>
            </w:r>
            <w:r/>
          </w:p>
        </w:tc>
        <w:tc>
          <w:tcPr>
            <w:tcW w:w="3282" w:type="dxa"/>
            <w:vAlign w:val="center"/>
            <w:textDirection w:val="lrTb"/>
            <w:noWrap w:val="false"/>
          </w:tcPr>
          <w:p>
            <w:pPr>
              <w:jc w:val="center"/>
              <w:spacing w:line="360" w:lineRule="atLeas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引用标准</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石油类</w:t>
            </w:r>
            <w:r/>
          </w:p>
        </w:tc>
        <w:tc>
          <w:tcPr>
            <w:tcW w:w="3377"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紫外分光光度法</w:t>
            </w:r>
            <w:r/>
          </w:p>
        </w:tc>
        <w:tc>
          <w:tcPr>
            <w:tcW w:w="3282" w:type="dxa"/>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17378.5-2007</w:t>
            </w:r>
            <w:r>
              <w:rPr>
                <w:rFonts w:hint="eastAsia" w:ascii="宋体" w:hAnsi="宋体" w:eastAsia="宋体" w:cs="宋体"/>
                <w:color w:val="auto"/>
                <w:sz w:val="24"/>
                <w:szCs w:val="24"/>
                <w:highlight w:val="none"/>
                <w:lang w:val="en-US" w:eastAsia="zh-CN"/>
              </w:rPr>
              <w:t xml:space="preserve">/13.2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有机碳</w:t>
            </w:r>
            <w:r/>
          </w:p>
        </w:tc>
        <w:tc>
          <w:tcPr>
            <w:tcW w:w="3377"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重铬酸钾氧化法</w:t>
            </w:r>
            <w:r>
              <w:rPr>
                <w:rFonts w:hint="eastAsia" w:ascii="宋体" w:hAnsi="宋体" w:eastAsia="宋体" w:cs="宋体"/>
                <w:i w:val="0"/>
                <w:iCs w:val="0"/>
                <w:color w:val="auto"/>
                <w:sz w:val="24"/>
                <w:szCs w:val="24"/>
                <w:highlight w:val="none"/>
                <w:u w:val="none"/>
                <w:lang w:val="en-US" w:eastAsia="zh-CN"/>
              </w:rPr>
              <w:t xml:space="preserve">-还原容量法</w:t>
            </w:r>
            <w:r/>
          </w:p>
        </w:tc>
        <w:tc>
          <w:tcPr>
            <w:tcW w:w="3282" w:type="dxa"/>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GB 17378.5-2007</w:t>
            </w:r>
            <w:r>
              <w:rPr>
                <w:rFonts w:hint="eastAsia" w:ascii="宋体" w:hAnsi="宋体" w:eastAsia="宋体" w:cs="宋体"/>
                <w:color w:val="auto"/>
                <w:sz w:val="24"/>
                <w:szCs w:val="24"/>
                <w:highlight w:val="none"/>
                <w:lang w:val="en-US" w:eastAsia="zh-CN"/>
              </w:rPr>
              <w:t xml:space="preserve">/18.1</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硫化物</w:t>
            </w:r>
            <w:r/>
          </w:p>
        </w:tc>
        <w:tc>
          <w:tcPr>
            <w:tcW w:w="3377"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亚甲基蓝分光光度法</w:t>
            </w:r>
            <w:r/>
          </w:p>
        </w:tc>
        <w:tc>
          <w:tcPr>
            <w:tcW w:w="3282" w:type="dxa"/>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HJ 833-2017</w:t>
            </w:r>
            <w:r/>
          </w:p>
          <w:p>
            <w:pPr>
              <w:jc w:val="center"/>
              <w:spacing w:line="36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或GB 17378.5-2007/ 17.1</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粒度</w:t>
            </w:r>
            <w:r/>
          </w:p>
        </w:tc>
        <w:tc>
          <w:tcPr>
            <w:tcW w:w="3377"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激光法</w:t>
            </w:r>
            <w:r/>
          </w:p>
        </w:tc>
        <w:tc>
          <w:tcPr>
            <w:tcW w:w="3282" w:type="dxa"/>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GB/T 12763.8-2007</w:t>
            </w:r>
            <w:r>
              <w:rPr>
                <w:rFonts w:hint="eastAsia" w:ascii="宋体" w:hAnsi="宋体" w:eastAsia="宋体" w:cs="宋体"/>
                <w:color w:val="auto"/>
                <w:sz w:val="24"/>
                <w:szCs w:val="24"/>
                <w:highlight w:val="none"/>
                <w:lang w:val="en-US" w:eastAsia="zh-CN"/>
              </w:rPr>
              <w:t xml:space="preserve">/6.3.2.3</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铜</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无火焰原子吸收分光光度法</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火焰原子吸收分光光度法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147.2-2013</w:t>
            </w:r>
            <w:r>
              <w:rPr>
                <w:rFonts w:hint="eastAsia" w:ascii="宋体" w:hAnsi="宋体" w:eastAsia="宋体" w:cs="宋体"/>
                <w:color w:val="auto"/>
                <w:sz w:val="24"/>
                <w:szCs w:val="24"/>
                <w:highlight w:val="none"/>
                <w:lang w:val="en-US"/>
              </w:rPr>
              <w:t xml:space="preserve">/6</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GB17378.5-2007/6.1</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GB17378.5-2007/6.</w:t>
            </w:r>
            <w:r>
              <w:rPr>
                <w:rFonts w:hint="eastAsia" w:ascii="宋体" w:hAnsi="宋体" w:eastAsia="宋体" w:cs="宋体"/>
                <w:color w:val="auto"/>
                <w:sz w:val="24"/>
                <w:szCs w:val="24"/>
                <w:highlight w:val="none"/>
                <w:lang w:val="en-US"/>
              </w:rPr>
              <w:t xml:space="preserve">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锌</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火焰原子吸收分光光度法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147.2-2013</w:t>
            </w:r>
            <w:r>
              <w:rPr>
                <w:rFonts w:hint="eastAsia" w:ascii="宋体" w:hAnsi="宋体" w:eastAsia="宋体" w:cs="宋体"/>
                <w:color w:val="auto"/>
                <w:sz w:val="24"/>
                <w:szCs w:val="24"/>
                <w:highlight w:val="none"/>
                <w:lang w:val="en-US"/>
              </w:rPr>
              <w:t xml:space="preserve">/6</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9</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铅</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无火焰原子吸收分光光度法</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火焰原子吸收分光光度法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147.2-2013</w:t>
            </w:r>
            <w:r>
              <w:rPr>
                <w:rFonts w:hint="eastAsia" w:ascii="宋体" w:hAnsi="宋体" w:eastAsia="宋体" w:cs="宋体"/>
                <w:color w:val="auto"/>
                <w:sz w:val="24"/>
                <w:szCs w:val="24"/>
                <w:highlight w:val="none"/>
                <w:lang w:val="en-US"/>
              </w:rPr>
              <w:t xml:space="preserve">/6</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1</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7.2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镉</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无火焰原子吸收分光光度法</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火焰原子吸收分光光度法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147.2-2013</w:t>
            </w:r>
            <w:r>
              <w:rPr>
                <w:rFonts w:hint="eastAsia" w:ascii="宋体" w:hAnsi="宋体" w:eastAsia="宋体" w:cs="宋体"/>
                <w:color w:val="auto"/>
                <w:sz w:val="24"/>
                <w:szCs w:val="24"/>
                <w:highlight w:val="none"/>
                <w:lang w:val="en-US"/>
              </w:rPr>
              <w:t xml:space="preserve">/6</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1</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8.2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铬</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无火焰原子吸收分光光度法</w:t>
            </w: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lang w:val="en-US" w:eastAsia="zh-CN"/>
              </w:rPr>
              <w:t xml:space="preserve">二苯碳酰二肼分光光度法</w:t>
            </w:r>
            <w:r>
              <w:rPr>
                <w:rFonts w:hint="eastAsia" w:ascii="宋体" w:hAnsi="宋体" w:eastAsia="宋体" w:cs="宋体"/>
                <w:color w:val="auto"/>
                <w:sz w:val="24"/>
                <w:szCs w:val="24"/>
                <w:highlight w:val="none"/>
              </w:rPr>
              <w:t xml:space="preserve"> </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HY/T 147.2-2013</w:t>
            </w:r>
            <w:r>
              <w:rPr>
                <w:rFonts w:hint="eastAsia" w:ascii="宋体" w:hAnsi="宋体" w:eastAsia="宋体" w:cs="宋体"/>
                <w:color w:val="auto"/>
                <w:sz w:val="24"/>
                <w:szCs w:val="24"/>
                <w:highlight w:val="none"/>
                <w:lang w:val="en-US"/>
              </w:rPr>
              <w:t xml:space="preserve">/6</w:t>
            </w:r>
            <w:r/>
          </w:p>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w:t>
            </w:r>
            <w:r>
              <w:rPr>
                <w:rFonts w:hint="eastAsia" w:ascii="宋体" w:hAnsi="宋体" w:eastAsia="宋体" w:cs="宋体"/>
                <w:color w:val="auto"/>
                <w:sz w:val="24"/>
                <w:szCs w:val="24"/>
                <w:highlight w:val="none"/>
                <w:lang w:val="en-US"/>
              </w:rPr>
              <w:t xml:space="preserve">10.1</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或GB17378.5-2007/10.2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汞</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热分解冷原子吸收光度法</w:t>
            </w:r>
            <w:r/>
          </w:p>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或原子荧光法</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或冷原子吸收光度法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HY/T 147.2-2013/5</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GB17378.5-2007/5.1</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GB17378.5-2007/5.</w:t>
            </w:r>
            <w:r>
              <w:rPr>
                <w:rFonts w:hint="eastAsia" w:ascii="宋体" w:hAnsi="宋体" w:eastAsia="宋体" w:cs="宋体"/>
                <w:color w:val="auto"/>
                <w:sz w:val="24"/>
                <w:szCs w:val="24"/>
                <w:highlight w:val="none"/>
                <w:lang w:val="en-US" w:eastAsia="zh-CN"/>
              </w:rPr>
              <w:t xml:space="preserve">2</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砷</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或原子荧光法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HY/T 147.2-2013/6</w:t>
            </w:r>
            <w:r/>
          </w:p>
          <w:p>
            <w:pPr>
              <w:jc w:val="center"/>
              <w:spacing w:line="3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或</w:t>
            </w:r>
            <w:r>
              <w:rPr>
                <w:rFonts w:hint="eastAsia" w:ascii="宋体" w:hAnsi="宋体" w:eastAsia="宋体" w:cs="宋体"/>
                <w:color w:val="auto"/>
                <w:sz w:val="24"/>
                <w:szCs w:val="24"/>
                <w:highlight w:val="none"/>
              </w:rPr>
              <w:t xml:space="preserve">GB17378.5-2007/11.1</w:t>
            </w:r>
            <w:r/>
          </w:p>
        </w:tc>
      </w:tr>
      <w:tr>
        <w:trPr>
          <w:jc w:val="center"/>
          <w:trHeight w:val="442"/>
        </w:trPr>
        <w:tc>
          <w:tcPr>
            <w:tcW w:w="2093" w:type="dxa"/>
            <w:vAlign w:val="center"/>
            <w:textDirection w:val="lrTb"/>
            <w:noWrap w:val="false"/>
          </w:tcPr>
          <w:p>
            <w:pPr>
              <w:jc w:val="center"/>
              <w:spacing w:line="36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镍</w:t>
            </w:r>
            <w:r/>
          </w:p>
        </w:tc>
        <w:tc>
          <w:tcPr>
            <w:tcW w:w="3377"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电感耦合等离子体质谱</w:t>
            </w:r>
            <w:r/>
          </w:p>
          <w:p>
            <w:pPr>
              <w:jc w:val="center"/>
              <w:spacing w:line="3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或火焰原子吸收分光光度法</w:t>
            </w:r>
            <w:r/>
          </w:p>
        </w:tc>
        <w:tc>
          <w:tcPr>
            <w:tcW w:w="3282" w:type="dxa"/>
            <w:vAlign w:val="center"/>
            <w:textDirection w:val="lrTb"/>
            <w:noWrap w:val="false"/>
          </w:tcPr>
          <w:p>
            <w:pPr>
              <w:jc w:val="center"/>
              <w:spacing w:line="3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HY/T 147.2-2013/6</w:t>
            </w:r>
            <w:r/>
          </w:p>
          <w:p>
            <w:pPr>
              <w:jc w:val="center"/>
              <w:spacing w:line="3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或HJ 491-2019</w:t>
            </w:r>
            <w:r/>
          </w:p>
        </w:tc>
      </w:tr>
    </w:tbl>
    <w:p>
      <w:pPr>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表4　生物体残留监测项目分析方法</w:t>
      </w:r>
      <w:r/>
    </w:p>
    <w:tbl>
      <w:tblPr>
        <w:tblStyle w:val="677"/>
        <w:tblW w:w="8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5"/>
        <w:gridCol w:w="3370"/>
        <w:gridCol w:w="3295"/>
      </w:tblGrid>
      <w:tr>
        <w:trPr>
          <w:jc w:val="center"/>
          <w:trHeight w:val="333"/>
        </w:trPr>
        <w:tc>
          <w:tcPr>
            <w:tcW w:w="2105" w:type="dxa"/>
            <w:vAlign w:val="center"/>
            <w:textDirection w:val="lrTb"/>
            <w:noWrap w:val="false"/>
          </w:tcPr>
          <w:p>
            <w:pPr>
              <w:jc w:val="center"/>
              <w:spacing w:line="3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监测项目</w:t>
            </w:r>
            <w:r/>
          </w:p>
        </w:tc>
        <w:tc>
          <w:tcPr>
            <w:tcW w:w="3370" w:type="dxa"/>
            <w:vAlign w:val="center"/>
            <w:textDirection w:val="lrTb"/>
            <w:noWrap w:val="false"/>
          </w:tcPr>
          <w:p>
            <w:pPr>
              <w:jc w:val="center"/>
              <w:spacing w:line="3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分析方法</w:t>
            </w:r>
            <w:r/>
          </w:p>
        </w:tc>
        <w:tc>
          <w:tcPr>
            <w:tcW w:w="3295" w:type="dxa"/>
            <w:vAlign w:val="center"/>
            <w:textDirection w:val="lrTb"/>
            <w:noWrap w:val="false"/>
          </w:tcPr>
          <w:p>
            <w:pPr>
              <w:jc w:val="center"/>
              <w:spacing w:line="3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引用标准</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石油烃</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荧光分光光度法</w:t>
            </w:r>
            <w:r/>
          </w:p>
        </w:tc>
        <w:tc>
          <w:tcPr>
            <w:tcW w:w="3295"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17378.6-2007</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铜</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电感耦合等离子体质谱法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无火焰原子吸收分光光度法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火焰原子吸收分光光度法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GB17378.6-2007/6.1</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GB17378.6-2007/6.</w:t>
            </w:r>
            <w:r>
              <w:rPr>
                <w:rFonts w:hint="eastAsia" w:ascii="宋体" w:hAnsi="宋体" w:eastAsia="宋体" w:cs="宋体"/>
                <w:color w:val="000000"/>
                <w:sz w:val="24"/>
                <w:szCs w:val="24"/>
                <w:highlight w:val="none"/>
                <w:lang w:val="en-US"/>
              </w:rPr>
              <w:t xml:space="preserve">3</w:t>
            </w:r>
            <w:r/>
          </w:p>
        </w:tc>
      </w:tr>
      <w:tr>
        <w:trPr>
          <w:jc w:val="center"/>
          <w:trHeight w:val="333"/>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锌</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电感耦合等离子体质谱法</w:t>
            </w:r>
            <w:r/>
          </w:p>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火焰原子吸收分光光度法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w:t>
            </w:r>
            <w:r>
              <w:rPr>
                <w:rFonts w:hint="eastAsia" w:ascii="宋体" w:hAnsi="宋体" w:eastAsia="宋体" w:cs="宋体"/>
                <w:color w:val="000000"/>
                <w:sz w:val="24"/>
                <w:szCs w:val="24"/>
                <w:highlight w:val="none"/>
                <w:lang w:val="en-US"/>
              </w:rPr>
              <w:t xml:space="preserve">9.1</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铅</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电感耦合等离子体质谱法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无火焰原子吸收分光光度法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火焰原子吸收分光光度法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.1</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3</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镉</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电感耦合等离子体质谱法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无火焰原子吸收分光光度法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火焰原子吸收分光光度法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GB17378.6-2007/8.1</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GB17378.6-2007/8.</w:t>
            </w:r>
            <w:r>
              <w:rPr>
                <w:rFonts w:hint="eastAsia" w:ascii="宋体" w:hAnsi="宋体" w:eastAsia="宋体" w:cs="宋体"/>
                <w:color w:val="000000"/>
                <w:sz w:val="24"/>
                <w:szCs w:val="24"/>
                <w:highlight w:val="none"/>
                <w:lang w:val="en-US"/>
              </w:rPr>
              <w:t xml:space="preserve">3</w:t>
            </w:r>
            <w:r/>
          </w:p>
        </w:tc>
      </w:tr>
      <w:tr>
        <w:trPr>
          <w:jc w:val="center"/>
          <w:trHeight w:val="333"/>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铬</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电感耦合等离子体质谱法</w:t>
            </w: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无火焰原子吸收分光光度法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GB17378.6-2007/10.1</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汞</w:t>
            </w:r>
            <w:r/>
          </w:p>
        </w:tc>
        <w:tc>
          <w:tcPr>
            <w:tcW w:w="337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热分解冷原子吸收光度法</w:t>
            </w:r>
            <w:r/>
          </w:p>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或原子荧光法</w:t>
            </w:r>
            <w:r/>
          </w:p>
        </w:tc>
        <w:tc>
          <w:tcPr>
            <w:tcW w:w="3295"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HY/T 147.3-2013</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w:t>
            </w:r>
            <w:r>
              <w:rPr>
                <w:rFonts w:hint="eastAsia" w:ascii="宋体" w:hAnsi="宋体" w:eastAsia="宋体" w:cs="宋体"/>
                <w:color w:val="000000"/>
                <w:sz w:val="24"/>
                <w:szCs w:val="24"/>
                <w:highlight w:val="none"/>
              </w:rPr>
              <w:t xml:space="preserve">GB17378.6-2007/5.1</w:t>
            </w:r>
            <w:r/>
          </w:p>
        </w:tc>
      </w:tr>
      <w:tr>
        <w:trPr>
          <w:jc w:val="center"/>
          <w:trHeight w:val="348"/>
        </w:trPr>
        <w:tc>
          <w:tcPr>
            <w:tcW w:w="2105"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砷</w:t>
            </w:r>
            <w:r/>
          </w:p>
        </w:tc>
        <w:tc>
          <w:tcPr>
            <w:tcW w:w="3370" w:type="dxa"/>
            <w:vAlign w:val="center"/>
            <w:textDirection w:val="lrTb"/>
            <w:noWrap w:val="false"/>
          </w:tcPr>
          <w:p>
            <w:pPr>
              <w:jc w:val="center"/>
              <w:spacing w:line="340" w:lineRule="exact"/>
              <w:widowControl/>
              <w:rPr>
                <w:rFonts w:hint="eastAsia" w:ascii="宋体" w:hAnsi="宋体" w:eastAsia="宋体" w:cs="宋体"/>
                <w:highlight w:val="none"/>
              </w:rPr>
            </w:pPr>
            <w:r>
              <w:rPr>
                <w:rFonts w:hint="eastAsia" w:ascii="宋体" w:hAnsi="宋体" w:eastAsia="宋体" w:cs="宋体"/>
                <w:color w:val="auto"/>
                <w:sz w:val="24"/>
                <w:szCs w:val="24"/>
                <w:highlight w:val="none"/>
              </w:rPr>
              <w:t xml:space="preserve">原子荧光法</w:t>
            </w:r>
            <w:r>
              <w:rPr>
                <w:rFonts w:hint="eastAsia" w:ascii="宋体" w:hAnsi="宋体" w:eastAsia="宋体" w:cs="宋体"/>
                <w:color w:val="auto"/>
                <w:sz w:val="24"/>
                <w:szCs w:val="24"/>
                <w:highlight w:val="none"/>
                <w:lang w:val="en-US" w:eastAsia="zh-CN"/>
              </w:rPr>
              <w:t xml:space="preserve">或</w:t>
            </w:r>
            <w:r/>
          </w:p>
          <w:p>
            <w:pPr>
              <w:jc w:val="center"/>
              <w:spacing w:line="3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电感耦合等离子体质谱法</w:t>
            </w:r>
            <w:r/>
          </w:p>
        </w:tc>
        <w:tc>
          <w:tcPr>
            <w:tcW w:w="3295" w:type="dxa"/>
            <w:vAlign w:val="center"/>
            <w:textDirection w:val="lrTb"/>
            <w:noWrap w:val="false"/>
          </w:tcPr>
          <w:p>
            <w:pPr>
              <w:jc w:val="center"/>
              <w:spacing w:line="36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GB 17378.6-2007</w:t>
            </w:r>
            <w:r>
              <w:rPr>
                <w:rFonts w:hint="eastAsia" w:ascii="宋体" w:hAnsi="宋体" w:eastAsia="宋体" w:cs="宋体"/>
                <w:color w:val="000000"/>
                <w:sz w:val="24"/>
                <w:szCs w:val="24"/>
                <w:highlight w:val="none"/>
                <w:lang w:val="en-US" w:eastAsia="zh-CN"/>
              </w:rPr>
              <w:t xml:space="preserve">/11.1</w:t>
            </w:r>
            <w:r/>
          </w:p>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HY/T 147.3-2013</w:t>
            </w:r>
            <w:r/>
          </w:p>
        </w:tc>
      </w:tr>
    </w:tbl>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表5　海洋生态及渔业资源调查项目分析方法</w:t>
      </w:r>
      <w:r/>
    </w:p>
    <w:tbl>
      <w:tblPr>
        <w:tblStyle w:val="677"/>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3404"/>
        <w:gridCol w:w="3127"/>
      </w:tblGrid>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监测项目</w:t>
            </w:r>
            <w:r/>
          </w:p>
        </w:tc>
        <w:tc>
          <w:tcPr>
            <w:tcW w:w="3404"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分析方法</w:t>
            </w:r>
            <w:r/>
          </w:p>
        </w:tc>
        <w:tc>
          <w:tcPr>
            <w:tcW w:w="3127"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引用标准</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叶绿素a</w:t>
            </w:r>
            <w:r/>
          </w:p>
        </w:tc>
        <w:tc>
          <w:tcPr>
            <w:tcW w:w="3404" w:type="dxa"/>
            <w:vAlign w:val="center"/>
            <w:textDirection w:val="lrTb"/>
            <w:noWrap w:val="false"/>
          </w:tcPr>
          <w:p>
            <w:pPr>
              <w:jc w:val="center"/>
              <w:spacing w:before="0" w:beforeAutospacing="0" w:after="0" w:afterAutospacing="0" w:line="3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分光光度法</w:t>
            </w:r>
            <w:r/>
          </w:p>
          <w:p>
            <w:pPr>
              <w:jc w:val="center"/>
              <w:spacing w:before="0" w:beforeAutospacing="0" w:after="0" w:afterAutospacing="0" w:line="3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或荧光分光光度法</w:t>
            </w:r>
            <w:r/>
          </w:p>
        </w:tc>
        <w:tc>
          <w:tcPr>
            <w:tcW w:w="3127"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HJ 897-2017</w:t>
            </w:r>
            <w:r/>
          </w:p>
          <w:p>
            <w:pPr>
              <w:jc w:val="center"/>
              <w:spacing w:line="36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或GB17378.7-2007/8.2</w:t>
            </w:r>
            <w:r/>
          </w:p>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或GB/T12763.6-2007/5.2.2或GB17378.7-2007/8.1</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浮游动物</w:t>
            </w:r>
            <w:r/>
          </w:p>
        </w:tc>
        <w:tc>
          <w:tcPr>
            <w:tcW w:w="3404"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17378.7-2007</w:t>
            </w:r>
            <w:r/>
          </w:p>
        </w:tc>
      </w:tr>
      <w:tr>
        <w:trPr>
          <w:jc w:val="center"/>
          <w:trHeight w:val="442"/>
        </w:trPr>
        <w:tc>
          <w:tcPr>
            <w:tcW w:w="1950" w:type="dxa"/>
            <w:vAlign w:val="center"/>
            <w:textDirection w:val="lrTb"/>
            <w:noWrap w:val="false"/>
          </w:tcPr>
          <w:p>
            <w:pPr>
              <w:jc w:val="center"/>
              <w:spacing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浮游植物</w:t>
            </w:r>
            <w:r/>
          </w:p>
        </w:tc>
        <w:tc>
          <w:tcPr>
            <w:tcW w:w="3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17378.7-2007</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大型</w:t>
            </w:r>
            <w:r>
              <w:rPr>
                <w:rFonts w:hint="eastAsia" w:ascii="宋体" w:hAnsi="宋体" w:eastAsia="宋体" w:cs="宋体"/>
                <w:color w:val="000000"/>
                <w:sz w:val="24"/>
                <w:szCs w:val="24"/>
                <w:highlight w:val="none"/>
              </w:rPr>
              <w:t xml:space="preserve">底栖生物</w:t>
            </w:r>
            <w:r/>
          </w:p>
        </w:tc>
        <w:tc>
          <w:tcPr>
            <w:tcW w:w="3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17378.7-2007</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鱼类浮游生物</w:t>
            </w:r>
            <w:r/>
          </w:p>
        </w:tc>
        <w:tc>
          <w:tcPr>
            <w:tcW w:w="3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/T</w:t>
            </w:r>
            <w:r>
              <w:rPr>
                <w:rFonts w:hint="eastAsia" w:ascii="宋体" w:hAnsi="宋体" w:eastAsia="宋体" w:cs="宋体"/>
                <w:color w:val="000000"/>
                <w:sz w:val="24"/>
                <w:szCs w:val="24"/>
                <w:highlight w:val="none"/>
              </w:rPr>
              <w:t xml:space="preserve"> 12763.6-2007</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潮间带生物</w:t>
            </w:r>
            <w:r/>
          </w:p>
        </w:tc>
        <w:tc>
          <w:tcPr>
            <w:tcW w:w="3404"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 17378.7-2007</w:t>
            </w:r>
            <w:r/>
          </w:p>
        </w:tc>
      </w:tr>
      <w:tr>
        <w:trPr>
          <w:jc w:val="center"/>
          <w:trHeight w:val="442"/>
        </w:trPr>
        <w:tc>
          <w:tcPr>
            <w:tcW w:w="1950"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游泳动物</w:t>
            </w:r>
            <w:r/>
          </w:p>
        </w:tc>
        <w:tc>
          <w:tcPr>
            <w:tcW w:w="3404" w:type="dxa"/>
            <w:vAlign w:val="center"/>
            <w:textDirection w:val="lrTb"/>
            <w:noWrap w:val="false"/>
          </w:tcPr>
          <w:p>
            <w:pPr>
              <w:jc w:val="center"/>
              <w:spacing w:before="100" w:beforeAutospacing="1" w:after="100" w:afterAutospacing="1" w:line="36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计数法</w:t>
            </w:r>
            <w:r/>
          </w:p>
        </w:tc>
        <w:tc>
          <w:tcPr>
            <w:tcW w:w="3127" w:type="dxa"/>
            <w:vAlign w:val="center"/>
            <w:textDirection w:val="lrTb"/>
            <w:noWrap w:val="false"/>
          </w:tcPr>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/T</w:t>
            </w:r>
            <w:r>
              <w:rPr>
                <w:rFonts w:hint="eastAsia" w:ascii="宋体" w:hAnsi="宋体" w:eastAsia="宋体" w:cs="宋体"/>
                <w:color w:val="000000"/>
                <w:sz w:val="24"/>
                <w:szCs w:val="24"/>
                <w:highlight w:val="none"/>
              </w:rPr>
              <w:t xml:space="preserve"> 12763.6-2007</w:t>
            </w:r>
            <w:r/>
          </w:p>
          <w:p>
            <w:pPr>
              <w:jc w:val="cente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SC/T 9403-2012</w:t>
            </w:r>
            <w:r/>
          </w:p>
        </w:tc>
      </w:tr>
    </w:tbl>
    <w:p>
      <w:pPr>
        <w:numPr>
          <w:ilvl w:val="0"/>
          <w:numId w:val="0"/>
        </w:numPr>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三、监测时间与频率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1.水质项目：于2026年春季、秋季的涨、落潮各进行一次监测。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2.沉积物项目：于2026年春季、秋季各进行一次监测。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3.生态项目：于2026年春季、秋季各进行一次监测。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4.生物</w:t>
      </w:r>
      <w:r>
        <w:rPr>
          <w:rFonts w:hint="eastAsia" w:ascii="宋体" w:hAnsi="宋体" w:cs="宋体"/>
          <w:sz w:val="24"/>
          <w:szCs w:val="24"/>
          <w:highlight w:val="none"/>
          <w:lang w:val="en-US" w:eastAsia="zh-CN"/>
        </w:rPr>
        <w:t xml:space="preserve">体残留</w:t>
      </w:r>
      <w:r>
        <w:rPr>
          <w:rFonts w:hint="eastAsia" w:ascii="宋体" w:hAnsi="宋体" w:eastAsia="宋体" w:cs="宋体"/>
          <w:sz w:val="24"/>
          <w:szCs w:val="24"/>
          <w:highlight w:val="none"/>
          <w:lang w:val="en-US" w:eastAsia="zh-CN"/>
        </w:rPr>
        <w:t xml:space="preserve">：于2026年春季、秋季各进行一次监测。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5.渔业资源：于2026年春季、秋季各进行一次监测。</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备注：部分站位如受水深影响无法采样，现场可根据实际情况就近调整。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四、数据分析测试与质量保证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数据分析测试与质量保证应满足《海洋监测规范》GB 17378.2～GB 17378.7及《海洋调查规范》GB/T 12763.2～GB12763.7有关要求。</w:t>
      </w:r>
      <w:r/>
    </w:p>
    <w:p>
      <w:pPr>
        <w:numPr>
          <w:ilvl w:val="0"/>
          <w:numId w:val="0"/>
        </w:numPr>
        <w:ind w:firstLine="482"/>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sz w:val="24"/>
          <w:szCs w:val="24"/>
          <w:highlight w:val="none"/>
          <w:lang w:val="en-US" w:eastAsia="zh-CN"/>
        </w:rPr>
        <w:t xml:space="preserve">服务期限、成果提交</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服务期限：1年</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提交成果：每季航次CMA检测分析报告</w:t>
      </w:r>
      <w:r>
        <w:rPr>
          <w:rFonts w:hint="eastAsia" w:ascii="宋体" w:hAnsi="宋体" w:eastAsia="宋体" w:cs="宋体"/>
          <w:i w:val="0"/>
          <w:iCs w:val="0"/>
          <w:caps w:val="0"/>
          <w:color w:val="auto"/>
          <w:spacing w:val="0"/>
          <w:sz w:val="24"/>
          <w:szCs w:val="24"/>
          <w:highlight w:val="none"/>
          <w:shd w:val="clear" w:color="auto" w:fill="auto"/>
        </w:rPr>
        <w:t xml:space="preserve">（或数据报表）</w:t>
      </w:r>
      <w:r>
        <w:rPr>
          <w:rFonts w:hint="eastAsia" w:ascii="宋体" w:hAnsi="宋体" w:eastAsia="宋体" w:cs="宋体"/>
          <w:sz w:val="24"/>
          <w:szCs w:val="24"/>
          <w:highlight w:val="none"/>
          <w:lang w:val="en-US" w:eastAsia="zh-CN"/>
        </w:rPr>
        <w:t xml:space="preserve">和分析评价报告。</w:t>
      </w:r>
      <w:r/>
    </w:p>
    <w:p>
      <w:pPr>
        <w:ind w:firstLine="482"/>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付款方式：</w:t>
      </w:r>
      <w:r>
        <w:rPr>
          <w:rFonts w:hint="eastAsia" w:ascii="宋体" w:hAnsi="宋体" w:eastAsia="宋体" w:cs="宋体"/>
          <w:sz w:val="24"/>
          <w:szCs w:val="24"/>
          <w:highlight w:val="none"/>
          <w:lang w:val="en-US" w:eastAsia="zh-CN"/>
        </w:rPr>
        <w:t xml:space="preserve">签订合同后付合同价的40%，春季结束出具CMA检测分析报告</w:t>
      </w:r>
      <w:r>
        <w:rPr>
          <w:rFonts w:hint="eastAsia" w:ascii="宋体" w:hAnsi="宋体" w:eastAsia="宋体" w:cs="宋体"/>
          <w:i w:val="0"/>
          <w:iCs w:val="0"/>
          <w:caps w:val="0"/>
          <w:spacing w:val="0"/>
          <w:sz w:val="24"/>
          <w:szCs w:val="24"/>
          <w:highlight w:val="none"/>
          <w:shd w:val="clear" w:color="auto"/>
        </w:rPr>
        <w:t xml:space="preserve">（或数据报表）</w:t>
      </w:r>
      <w:r>
        <w:rPr>
          <w:rFonts w:hint="eastAsia" w:ascii="宋体" w:hAnsi="宋体" w:eastAsia="宋体" w:cs="宋体"/>
          <w:sz w:val="24"/>
          <w:szCs w:val="24"/>
          <w:highlight w:val="none"/>
          <w:lang w:val="en-US" w:eastAsia="zh-CN"/>
        </w:rPr>
        <w:t xml:space="preserve">后付至合同价的70%，余款在服务期满且出具</w:t>
      </w:r>
      <w:r>
        <w:rPr>
          <w:rFonts w:hint="eastAsia" w:ascii="宋体" w:hAnsi="宋体" w:cs="宋体"/>
          <w:sz w:val="24"/>
          <w:szCs w:val="24"/>
          <w:highlight w:val="none"/>
          <w:lang w:val="en-US" w:eastAsia="zh-CN"/>
        </w:rPr>
        <w:t xml:space="preserve">秋季</w:t>
      </w:r>
      <w:r>
        <w:rPr>
          <w:rFonts w:hint="eastAsia" w:ascii="宋体" w:hAnsi="宋体" w:eastAsia="宋体" w:cs="宋体"/>
          <w:sz w:val="24"/>
          <w:szCs w:val="24"/>
          <w:highlight w:val="none"/>
          <w:lang w:val="en-US" w:eastAsia="zh-CN"/>
        </w:rPr>
        <w:t xml:space="preserve">CMA检测分析报告</w:t>
      </w:r>
      <w:r>
        <w:rPr>
          <w:rFonts w:hint="eastAsia" w:ascii="宋体" w:hAnsi="宋体" w:eastAsia="宋体" w:cs="宋体"/>
          <w:i w:val="0"/>
          <w:iCs w:val="0"/>
          <w:caps w:val="0"/>
          <w:spacing w:val="0"/>
          <w:sz w:val="24"/>
          <w:szCs w:val="24"/>
          <w:highlight w:val="none"/>
          <w:shd w:val="clear" w:color="auto"/>
        </w:rPr>
        <w:t xml:space="preserve">（或数据报表）</w:t>
      </w:r>
      <w:r>
        <w:rPr>
          <w:rFonts w:hint="eastAsia" w:ascii="宋体" w:hAnsi="宋体" w:eastAsia="宋体" w:cs="宋体"/>
          <w:sz w:val="24"/>
          <w:szCs w:val="24"/>
          <w:highlight w:val="none"/>
          <w:lang w:val="en-US" w:eastAsia="zh-CN"/>
        </w:rPr>
        <w:t xml:space="preserve">和分析评价报告后付清。</w:t>
      </w:r>
      <w:r>
        <w:rPr>
          <w:rFonts w:hint="eastAsia" w:ascii="宋体" w:hAnsi="宋体" w:eastAsia="宋体" w:cs="宋体"/>
          <w:sz w:val="24"/>
          <w:szCs w:val="24"/>
          <w:highlight w:val="none"/>
          <w:lang w:val="en-US" w:eastAsia="zh-CN" w:bidi="ar-SA"/>
        </w:rPr>
        <w:t xml:space="preserve"> </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其他要求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1.投标人的投标报价，在合同实施期间，中标价不随国家政策或法规、标准及任何市场因素的变化而进行调整。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2.中标供应商在履行合同过程中，一切事故其责任由中标供应商承担，采购人不承担任何责任。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在履行合同期间或合同规定期限内严格执行保密制度，不得泄露与本项目规定业务活动有关的保密资料及成果资料，一经发现，将终止与中标单位的合同关系，同时中标单位应承担所有的责任，弥补给采购单位带来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4.项目完成后告知采购单位代表，并对成果担当保密责任。</w:t>
      </w:r>
      <w:r/>
    </w:p>
    <w:p>
      <w:pPr>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br w:type="page" w:clear="all"/>
      </w:r>
      <w:r/>
    </w:p>
    <w:p>
      <w:pPr>
        <w:jc w:val="center"/>
        <w:spacing w:line="360" w:lineRule="auto"/>
        <w:rPr>
          <w:rFonts w:hint="eastAsia" w:ascii="宋体" w:hAnsi="宋体" w:eastAsia="宋体" w:cs="宋体"/>
          <w:bCs/>
          <w:sz w:val="44"/>
          <w:highlight w:val="none"/>
        </w:rPr>
        <w:outlineLvl w:val="0"/>
      </w:pPr>
      <w:r>
        <w:rPr>
          <w:rFonts w:hint="eastAsia" w:ascii="宋体" w:hAnsi="宋体" w:eastAsia="宋体" w:cs="宋体"/>
          <w:b/>
          <w:sz w:val="44"/>
          <w:highlight w:val="none"/>
        </w:rPr>
        <w:t xml:space="preserve">第四章  评标方</w:t>
      </w:r>
      <w:r>
        <w:rPr>
          <w:rFonts w:hint="eastAsia" w:ascii="宋体" w:hAnsi="宋体" w:eastAsia="宋体" w:cs="宋体"/>
          <w:b/>
          <w:bCs/>
          <w:sz w:val="44"/>
          <w:highlight w:val="none"/>
        </w:rPr>
        <w:t xml:space="preserve">法与评标标准</w:t>
      </w:r>
      <w:bookmarkEnd w:id="187"/>
      <w:r/>
      <w:r/>
    </w:p>
    <w:p>
      <w:pPr>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一、评审方法：</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由评标委员会对投标人资格进行审查，然后对符合资格的投标人的投标文件进行符合性审查，最后评标委员会对符合性审查合格的投标文件商务、技术部分进行评估，综合比较与评价。投标人商务技术分和价格分的合计分值，为该投标人的评标总得分。</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354"/>
        <w:gridCol w:w="5554"/>
      </w:tblGrid>
      <w:tr>
        <w:trPr>
          <w:jc w:val="center"/>
          <w:trHeight w:val="750"/>
        </w:trPr>
        <w:tc>
          <w:tcPr>
            <w:tcW w:w="1196" w:type="dxa"/>
            <w:vAlign w:val="center"/>
            <w:textDirection w:val="lrTb"/>
            <w:noWrap w:val="false"/>
          </w:tcPr>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分包号</w:t>
            </w:r>
            <w:r/>
          </w:p>
        </w:tc>
        <w:tc>
          <w:tcPr>
            <w:tcW w:w="24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选取中标候选人数量</w:t>
            </w:r>
            <w:r/>
          </w:p>
        </w:tc>
        <w:tc>
          <w:tcPr>
            <w:tcW w:w="5734" w:type="dxa"/>
            <w:vAlign w:val="center"/>
            <w:textDirection w:val="lrTb"/>
            <w:noWrap w:val="false"/>
          </w:tcPr>
          <w:p>
            <w:pPr>
              <w:ind w:firstLine="135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选取中标候选人的原则</w:t>
            </w:r>
            <w:r/>
          </w:p>
        </w:tc>
      </w:tr>
      <w:tr>
        <w:trPr>
          <w:jc w:val="center"/>
          <w:trHeight w:val="1260"/>
        </w:trPr>
        <w:tc>
          <w:tcPr>
            <w:tcW w:w="1196" w:type="dxa"/>
            <w:vAlign w:val="center"/>
            <w:textDirection w:val="lrTb"/>
            <w:noWrap w:val="false"/>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409" w:type="dxa"/>
            <w:vAlign w:val="center"/>
            <w:textDirection w:val="lrTb"/>
            <w:noWrap w:val="false"/>
          </w:tcPr>
          <w:p>
            <w:pPr>
              <w:ind w:firstLine="8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73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满足招标文件全部实质性要求，且按照评审因素的量化指标评审得分最高的投标人为中标候选人。</w:t>
            </w:r>
            <w:r/>
          </w:p>
        </w:tc>
      </w:tr>
    </w:tbl>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二、政府采购政策功能落实：</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1、小微型企业价格扣除</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（1）本项目对小型和微型企业产品给予10%的扣除价格，用扣除后的价格参与评审。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（2）供应商需按照《政府采购促进中小企业发展管理办法》（财库﹝2020﹞46 号）的规定提供相应的《中小企业声明函》。</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（1）本项目对残疾人福利性单位，给予10%的价格扣除，用扣除后的价格参与评审。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（2）残疾人福利单位需按照招标文件的要求提供《残疾人福利性单位声明函》。</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（1）本项目对监狱和戒毒企业（简称监狱企业）给予10%的价格扣除，用扣除后的价格参与评审。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6、联合体各方均为小型、微型企业（残疾人福利单位、监狱企业）的，联合体享受10%价格扣除，用扣除后的价格参与评审。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7、专门面向中小企业采购的项目或者采购包，不再执行价格评审优惠的扶持政策。</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8、采购本国产品的支持政策</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根据《江苏省政府采购信用管理暂行办法》的规定，供应商信用评价结果为三星的扣2分，评价结果为二星的扣3分，评价结果为一星的扣4分。</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三、评标方法与评标标准：</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本项目采用综合评分法。评委会将按下列评审因素与评审标准进行评分，总分值为100分。</w:t>
      </w:r>
      <w:r/>
    </w:p>
    <w:p>
      <w:pPr>
        <w:ind w:firstLine="2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3.1、价格分（</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即满足招标文件要求且投标价格最低的投标报价为评标基准价，其价格分为满分。其他投标人的价格分统一按照下列公式计算（注：计算过程和最后得分均四舍五入保留小数点后两位数）：</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投标报价得分=（评标基准价/投标报价）×价</w:t>
      </w:r>
      <w:r>
        <w:rPr>
          <w:rFonts w:hint="eastAsia" w:ascii="宋体" w:hAnsi="宋体" w:eastAsia="宋体" w:cs="宋体"/>
          <w:color w:val="000000" w:themeColor="text1"/>
          <w:sz w:val="24"/>
          <w:szCs w:val="24"/>
          <w:highlight w:val="none"/>
          <w14:textFill>
            <w14:solidFill>
              <w14:schemeClr w14:val="tx1"/>
            </w14:solidFill>
          </w14:textFill>
        </w:rPr>
        <w:t xml:space="preserve">格权值×100</w:t>
      </w:r>
      <w:r/>
    </w:p>
    <w:p>
      <w:pPr>
        <w:ind w:firstLine="241"/>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3.2、商务技术分（</w:t>
      </w:r>
      <w:r>
        <w:rPr>
          <w:rFonts w:hint="eastAsia" w:ascii="宋体" w:hAnsi="宋体" w:eastAsia="宋体" w:cs="宋体"/>
          <w:b/>
          <w:bCs/>
          <w:sz w:val="24"/>
          <w:szCs w:val="24"/>
          <w:highlight w:val="none"/>
          <w:lang w:val="en-US" w:eastAsia="zh-CN"/>
        </w:rPr>
        <w:t xml:space="preserve">70</w:t>
      </w:r>
      <w:r>
        <w:rPr>
          <w:rFonts w:hint="eastAsia" w:ascii="宋体" w:hAnsi="宋体" w:eastAsia="宋体" w:cs="宋体"/>
          <w:b/>
          <w:bCs/>
          <w:sz w:val="24"/>
          <w:szCs w:val="24"/>
          <w:highlight w:val="none"/>
        </w:rPr>
        <w:t xml:space="preserve">分）：</w:t>
      </w:r>
      <w:r/>
    </w:p>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各供应商得分为评标小组成员评分的算术平均分，分值保留小数点后两位。</w:t>
      </w:r>
      <w:r/>
    </w:p>
    <w:tbl>
      <w:tblPr>
        <w:tblStyle w:val="67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1342"/>
        <w:gridCol w:w="840"/>
        <w:gridCol w:w="6243"/>
      </w:tblGrid>
      <w:tr>
        <w:trPr>
          <w:trHeight w:val="315"/>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评审内容</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评审内容说明</w:t>
            </w:r>
            <w:r/>
          </w:p>
        </w:tc>
      </w:tr>
      <w:tr>
        <w:trPr>
          <w:trHeight w:val="540"/>
        </w:trPr>
        <w:tc>
          <w:tcPr>
            <w:gridSpan w:val="4"/>
            <w:tcBorders>
              <w:top w:val="single" w:color="auto" w:sz="4" w:space="0"/>
              <w:left w:val="single" w:color="auto" w:sz="4" w:space="0"/>
              <w:bottom w:val="single" w:color="auto" w:sz="4" w:space="0"/>
              <w:right w:val="single" w:color="auto" w:sz="4" w:space="0"/>
            </w:tcBorders>
            <w:tcW w:w="91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）技术能力</w:t>
            </w:r>
            <w:r>
              <w:rPr>
                <w:rFonts w:hint="eastAsia" w:ascii="宋体" w:hAnsi="宋体" w:eastAsia="宋体" w:cs="宋体"/>
                <w:b/>
                <w:sz w:val="24"/>
                <w:szCs w:val="24"/>
                <w:highlight w:val="none"/>
                <w:lang w:val="en-US" w:eastAsia="zh-CN"/>
              </w:rPr>
              <w:t xml:space="preserve">部分</w:t>
            </w:r>
            <w:r>
              <w:rPr>
                <w:rFonts w:hint="eastAsia" w:ascii="宋体" w:hAnsi="宋体" w:eastAsia="宋体" w:cs="宋体"/>
                <w:b/>
                <w:sz w:val="24"/>
                <w:szCs w:val="24"/>
                <w:highlight w:val="none"/>
              </w:rPr>
              <w:t xml:space="preserve">（31</w:t>
            </w:r>
            <w:r>
              <w:rPr>
                <w:rFonts w:hint="eastAsia" w:ascii="宋体" w:hAnsi="宋体" w:eastAsia="宋体" w:cs="宋体"/>
                <w:b/>
                <w:sz w:val="24"/>
                <w:szCs w:val="24"/>
                <w:highlight w:val="none"/>
                <w:lang w:val="en-US" w:eastAsia="zh-CN"/>
              </w:rPr>
              <w:t xml:space="preserve">分</w:t>
            </w:r>
            <w:r>
              <w:rPr>
                <w:rFonts w:hint="eastAsia" w:ascii="宋体" w:hAnsi="宋体" w:eastAsia="宋体" w:cs="宋体"/>
                <w:b/>
                <w:sz w:val="24"/>
                <w:szCs w:val="24"/>
                <w:highlight w:val="none"/>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5分</w:t>
            </w:r>
            <w:r/>
          </w:p>
        </w:tc>
        <w:tc>
          <w:tcPr>
            <w:shd w:val="clear" w:color="auto" w:fill="auto"/>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根据投标人提供的技术整体方案和具体实施方案的可行性、完整性、合理性、科学性，主要包括站位设置、监测因子确定、质控等方面进行</w:t>
            </w:r>
            <w:r>
              <w:rPr>
                <w:rFonts w:hint="eastAsia" w:ascii="宋体" w:hAnsi="宋体" w:eastAsia="宋体" w:cs="宋体"/>
                <w:sz w:val="24"/>
                <w:szCs w:val="24"/>
                <w:highlight w:val="none"/>
                <w:lang w:val="en-US" w:eastAsia="zh-CN"/>
              </w:rPr>
              <w:t xml:space="preserve">评审</w:t>
            </w:r>
            <w:r>
              <w:rPr>
                <w:rFonts w:hint="eastAsia" w:ascii="宋体" w:hAnsi="宋体" w:eastAsia="宋体" w:cs="宋体"/>
                <w:sz w:val="24"/>
                <w:szCs w:val="24"/>
                <w:highlight w:val="none"/>
              </w:rPr>
              <w:t xml:space="preserve">。本项最高得5分。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1、整体方案和具体实施方案的可行性（2分）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整体方案和具体实施方案可行得2分；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整体方案和具体实施方案一般得1分；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未提供或提供的</w:t>
            </w:r>
            <w:r>
              <w:rPr>
                <w:rFonts w:hint="eastAsia" w:ascii="宋体" w:hAnsi="宋体" w:eastAsia="宋体" w:cs="宋体"/>
                <w:sz w:val="24"/>
                <w:szCs w:val="24"/>
                <w:highlight w:val="none"/>
              </w:rPr>
              <w:t xml:space="preserve">整体方案和具体实施方案较差得0分。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2、方案的完整性、合理性、科学性（2分）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方案的完整性、合理性、科学性较好得2分；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方案的完整性、合理性、科学性一般得1分；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未提供或提供的</w:t>
            </w:r>
            <w:r>
              <w:rPr>
                <w:rFonts w:hint="eastAsia" w:ascii="宋体" w:hAnsi="宋体" w:eastAsia="宋体" w:cs="宋体"/>
                <w:sz w:val="24"/>
                <w:szCs w:val="24"/>
                <w:highlight w:val="none"/>
              </w:rPr>
              <w:t xml:space="preserve">方案的完整性、合理性、科学性较差得0分。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3、质控措施的有效性（1分）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质控措施的有效性较好得1分；</w:t>
            </w:r>
            <w:r/>
          </w:p>
          <w:p>
            <w:pPr>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质控措施的有效性一般得0.5分；</w:t>
            </w:r>
            <w:r/>
          </w:p>
          <w:p>
            <w:pP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sz w:val="24"/>
                <w:szCs w:val="24"/>
                <w:highlight w:val="none"/>
                <w:lang w:val="en-US" w:eastAsia="zh-CN"/>
              </w:rPr>
              <w:t xml:space="preserve">未提供或提供的</w:t>
            </w:r>
            <w:r>
              <w:rPr>
                <w:rFonts w:hint="eastAsia" w:ascii="宋体" w:hAnsi="宋体" w:eastAsia="宋体" w:cs="宋体"/>
                <w:sz w:val="24"/>
                <w:szCs w:val="24"/>
                <w:highlight w:val="none"/>
              </w:rPr>
              <w:t xml:space="preserve">质控措施的有效性较差得0分。</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lef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人员配备</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26分</w:t>
            </w:r>
            <w:r/>
          </w:p>
        </w:tc>
        <w:tc>
          <w:tcPr>
            <w:shd w:val="clear" w:color="auto" w:fill="auto"/>
            <w:tcBorders>
              <w:top w:val="none" w:color="000000" w:sz="4" w:space="0"/>
              <w:left w:val="none" w:color="000000" w:sz="4" w:space="0"/>
              <w:bottom w:val="single" w:color="auto" w:sz="4" w:space="0"/>
              <w:right w:val="single" w:color="auto" w:sz="4" w:space="0"/>
            </w:tcBorders>
            <w:tcW w:w="6285" w:type="dxa"/>
            <w:vAlign w:val="center"/>
            <w:textDirection w:val="lrTb"/>
            <w:noWrap w:val="false"/>
          </w:tcPr>
          <w:p>
            <w:pPr>
              <w:keepLines w:val="0"/>
              <w:keepNext w:val="0"/>
              <w:pageBreakBefore w:val="0"/>
              <w:spacing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拟派的项目技术人员（不含项目负责人）同时</w:t>
            </w:r>
            <w:r>
              <w:rPr>
                <w:rFonts w:hint="eastAsia" w:ascii="宋体" w:hAnsi="宋体" w:eastAsia="宋体" w:cs="宋体"/>
                <w:bCs/>
                <w:sz w:val="24"/>
                <w:szCs w:val="24"/>
                <w:highlight w:val="none"/>
                <w:lang w:val="en-US" w:eastAsia="zh-CN"/>
              </w:rPr>
              <w:t xml:space="preserve">具有</w:t>
            </w:r>
            <w:r>
              <w:rPr>
                <w:rFonts w:hint="eastAsia" w:ascii="宋体" w:hAnsi="宋体" w:eastAsia="宋体" w:cs="宋体"/>
                <w:sz w:val="24"/>
                <w:szCs w:val="24"/>
                <w:highlight w:val="none"/>
              </w:rPr>
              <w:t xml:space="preserve">环境类或海洋类（含水产工程）</w:t>
            </w:r>
            <w:r>
              <w:rPr>
                <w:rFonts w:hint="eastAsia" w:ascii="宋体" w:hAnsi="宋体" w:eastAsia="宋体" w:cs="宋体"/>
                <w:bCs/>
                <w:sz w:val="24"/>
                <w:szCs w:val="24"/>
                <w:highlight w:val="none"/>
              </w:rPr>
              <w:t xml:space="preserve">中级及以上职称</w:t>
            </w:r>
            <w:r>
              <w:rPr>
                <w:rFonts w:hint="eastAsia" w:ascii="宋体" w:hAnsi="宋体" w:eastAsia="宋体" w:cs="宋体"/>
                <w:bCs/>
                <w:sz w:val="24"/>
                <w:szCs w:val="24"/>
                <w:highlight w:val="none"/>
                <w:lang w:val="en-US" w:eastAsia="zh-CN"/>
              </w:rPr>
              <w:t xml:space="preserve">和</w:t>
            </w:r>
            <w:r>
              <w:rPr>
                <w:rFonts w:hint="eastAsia" w:ascii="宋体" w:hAnsi="宋体" w:eastAsia="宋体" w:cs="宋体"/>
                <w:bCs/>
                <w:sz w:val="24"/>
                <w:szCs w:val="24"/>
                <w:highlight w:val="none"/>
              </w:rPr>
              <w:t xml:space="preserve">有效期内的国家海洋标准计量中心颁发的全国海洋监/检测培训（能力提升）证书或中国环境监测总站颁发的环境监测人员技术考核合格证的，每提供一人得2分，本项满分26分</w:t>
            </w:r>
            <w:r>
              <w:rPr>
                <w:rFonts w:hint="eastAsia" w:ascii="宋体" w:hAnsi="宋体" w:eastAsia="宋体" w:cs="宋体"/>
                <w:bCs/>
                <w:sz w:val="24"/>
                <w:szCs w:val="24"/>
                <w:highlight w:val="none"/>
                <w:lang w:eastAsia="zh-CN"/>
              </w:rPr>
              <w:t xml:space="preserve">。</w:t>
            </w:r>
            <w:r/>
          </w:p>
          <w:p>
            <w:pPr>
              <w:keepLines w:val="0"/>
              <w:keepNext w:val="0"/>
              <w:pageBreakBefore w:val="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sz w:val="24"/>
                <w:szCs w:val="24"/>
                <w:highlight w:val="none"/>
                <w:lang w:val="en-US" w:eastAsia="zh-CN"/>
              </w:rPr>
              <w:t xml:space="preserve">注：</w:t>
            </w:r>
            <w:r>
              <w:rPr>
                <w:rFonts w:hint="eastAsia" w:ascii="宋体" w:hAnsi="宋体" w:eastAsia="宋体" w:cs="宋体"/>
                <w:bCs/>
                <w:sz w:val="24"/>
                <w:szCs w:val="24"/>
                <w:highlight w:val="none"/>
              </w:rPr>
              <w:t xml:space="preserve">提供</w:t>
            </w:r>
            <w:r>
              <w:rPr>
                <w:rFonts w:hint="eastAsia" w:ascii="宋体" w:hAnsi="宋体" w:eastAsia="宋体" w:cs="宋体"/>
                <w:bCs/>
                <w:sz w:val="24"/>
                <w:szCs w:val="24"/>
                <w:highlight w:val="none"/>
                <w:lang w:val="en-US" w:eastAsia="zh-CN"/>
              </w:rPr>
              <w:t xml:space="preserve">人员身份证、</w:t>
            </w:r>
            <w:r>
              <w:rPr>
                <w:rFonts w:hint="eastAsia" w:ascii="宋体" w:hAnsi="宋体" w:eastAsia="宋体" w:cs="宋体"/>
                <w:bCs/>
                <w:sz w:val="24"/>
                <w:szCs w:val="24"/>
                <w:highlight w:val="none"/>
              </w:rPr>
              <w:t xml:space="preserve">职称证书、培训证书/考核合格证和</w:t>
            </w:r>
            <w:r>
              <w:rPr>
                <w:rFonts w:hint="eastAsia" w:ascii="宋体" w:hAnsi="宋体" w:eastAsia="宋体" w:cs="宋体"/>
                <w:b/>
                <w:bCs/>
                <w:color w:val="auto"/>
                <w:sz w:val="24"/>
                <w:szCs w:val="24"/>
                <w:highlight w:val="none"/>
              </w:rPr>
              <w:t xml:space="preserve">社保部门出具的投标人为其缴纳的202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月份-202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月份中</w:t>
            </w:r>
            <w:r>
              <w:rPr>
                <w:rFonts w:hint="eastAsia" w:ascii="宋体" w:hAnsi="宋体" w:eastAsia="宋体" w:cs="宋体"/>
                <w:b/>
                <w:bCs/>
                <w:color w:val="auto"/>
                <w:sz w:val="24"/>
                <w:szCs w:val="24"/>
                <w:highlight w:val="none"/>
                <w:lang w:val="en-US" w:eastAsia="zh-CN"/>
              </w:rPr>
              <w:t xml:space="preserve">任意</w:t>
            </w:r>
            <w:r>
              <w:rPr>
                <w:rFonts w:hint="eastAsia" w:ascii="宋体" w:hAnsi="宋体" w:eastAsia="宋体" w:cs="宋体"/>
                <w:b/>
                <w:bCs/>
                <w:color w:val="auto"/>
                <w:sz w:val="24"/>
                <w:szCs w:val="24"/>
                <w:highlight w:val="none"/>
              </w:rPr>
              <w:t xml:space="preserve">一个月的养老保险证明材料</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Cs/>
                <w:sz w:val="24"/>
                <w:szCs w:val="24"/>
                <w:highlight w:val="none"/>
              </w:rPr>
              <w:t xml:space="preserve">（事业单位无法提供社保证明的，可以本单位盖章的承诺证明代替）</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未提供证明材料或材料提供不全不得分。</w:t>
            </w:r>
            <w:r>
              <w:rPr>
                <w:rFonts w:hint="eastAsia" w:ascii="宋体" w:hAnsi="宋体" w:eastAsia="宋体" w:cs="宋体"/>
                <w:bCs/>
                <w:sz w:val="24"/>
                <w:szCs w:val="24"/>
                <w:highlight w:val="none"/>
                <w:lang w:val="en-US" w:eastAsia="zh-CN"/>
              </w:rPr>
              <w:t xml:space="preserve"> </w:t>
            </w:r>
            <w:r/>
          </w:p>
        </w:tc>
      </w:tr>
      <w:tr>
        <w:trPr>
          <w:trHeight w:val="690"/>
        </w:trPr>
        <w:tc>
          <w:tcPr>
            <w:gridSpan w:val="4"/>
            <w:shd w:val="clear" w:color="auto" w:fill="auto"/>
            <w:tcBorders>
              <w:top w:val="none" w:color="000000" w:sz="4" w:space="0"/>
              <w:left w:val="single" w:color="auto" w:sz="4" w:space="0"/>
              <w:bottom w:val="single" w:color="auto" w:sz="4" w:space="0"/>
              <w:right w:val="single" w:color="auto" w:sz="4" w:space="0"/>
            </w:tcBorders>
            <w:tcW w:w="913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）投标人履约能力</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276"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业绩</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14分</w:t>
            </w:r>
            <w:r/>
          </w:p>
        </w:tc>
        <w:tc>
          <w:tcPr>
            <w:shd w:val="clear" w:color="auto" w:fill="auto"/>
            <w:tcBorders>
              <w:top w:val="single" w:color="auto" w:sz="4" w:space="0"/>
              <w:left w:val="none" w:color="000000" w:sz="4" w:space="0"/>
              <w:bottom w:val="single" w:color="auto" w:sz="4" w:space="0"/>
              <w:right w:val="single" w:color="auto" w:sz="4" w:space="0"/>
            </w:tcBorders>
            <w:tcW w:w="628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投标人（或联合体成员单位）</w:t>
            </w:r>
            <w:r>
              <w:rPr>
                <w:rFonts w:hint="eastAsia" w:ascii="宋体" w:hAnsi="宋体" w:eastAsia="宋体" w:cs="宋体"/>
                <w:bCs/>
                <w:sz w:val="24"/>
                <w:szCs w:val="24"/>
                <w:highlight w:val="none"/>
              </w:rPr>
              <w:t xml:space="preserve">自202</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月1日以来（以合同签定时间为准）承接过海洋生态环境或渔业资源监测调查项目业绩的，每个得2分，本项最高得14分。</w:t>
            </w:r>
            <w:r>
              <w:rPr>
                <w:rFonts w:hint="eastAsia" w:ascii="宋体" w:hAnsi="宋体" w:eastAsia="宋体" w:cs="宋体"/>
                <w:b/>
                <w:sz w:val="24"/>
                <w:szCs w:val="24"/>
                <w:highlight w:val="none"/>
              </w:rPr>
              <w:t xml:space="preserve">（需提供业绩合同首页、盖章页及表明工作范围内容有效页证明文件的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sz w:val="24"/>
                <w:szCs w:val="24"/>
                <w:highlight w:val="none"/>
              </w:rPr>
              <w:t xml:space="preserve">）</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sz w:val="24"/>
                <w:szCs w:val="24"/>
                <w:highlight w:val="none"/>
              </w:rPr>
              <w:t xml:space="preserve">环境质量报告书（或公报）编制经历</w:t>
            </w:r>
            <w:r/>
          </w:p>
        </w:tc>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jc w:val="left"/>
              <w:widowControl/>
              <w:rPr>
                <w:rFonts w:hint="eastAsia" w:ascii="宋体" w:hAnsi="宋体" w:eastAsia="宋体" w:cs="宋体"/>
                <w:color w:val="auto"/>
                <w:sz w:val="22"/>
                <w:highlight w:val="none"/>
              </w:rPr>
            </w:pPr>
            <w:r>
              <w:rPr>
                <w:rFonts w:hint="eastAsia" w:ascii="宋体" w:hAnsi="宋体" w:eastAsia="宋体" w:cs="宋体"/>
                <w:sz w:val="24"/>
                <w:szCs w:val="24"/>
                <w:highlight w:val="none"/>
              </w:rPr>
              <w:t xml:space="preserve">投标人</w:t>
            </w:r>
            <w:r>
              <w:rPr>
                <w:rFonts w:hint="eastAsia" w:ascii="宋体" w:hAnsi="宋体" w:eastAsia="宋体" w:cs="宋体"/>
                <w:bCs/>
                <w:sz w:val="24"/>
                <w:szCs w:val="24"/>
                <w:highlight w:val="none"/>
                <w:lang w:val="en-US" w:eastAsia="zh-CN"/>
              </w:rPr>
              <w:t xml:space="preserve">（或联合体成员单位）</w:t>
            </w:r>
            <w:r>
              <w:rPr>
                <w:rFonts w:hint="eastAsia" w:ascii="宋体" w:hAnsi="宋体" w:eastAsia="宋体" w:cs="宋体"/>
                <w:sz w:val="24"/>
                <w:szCs w:val="24"/>
                <w:highlight w:val="none"/>
              </w:rPr>
              <w:t xml:space="preserve">具有20</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年及以来作为第一主编单位（部门）编制沿海省（市、区）省级及以上环境质量报告书（或公报）相关经历的，每提供1个沿海省级及以上环境质量报告书（或公报）编制证明材料的得3分，最高得15分。（</w:t>
            </w:r>
            <w:r>
              <w:rPr>
                <w:rFonts w:hint="eastAsia" w:ascii="宋体" w:hAnsi="宋体" w:eastAsia="宋体" w:cs="宋体"/>
                <w:b/>
                <w:sz w:val="24"/>
                <w:szCs w:val="24"/>
                <w:highlight w:val="none"/>
              </w:rPr>
              <w:t xml:space="preserve">需提供环境质量报告书（或公报）的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sz w:val="24"/>
                <w:szCs w:val="24"/>
                <w:highlight w:val="none"/>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sz w:val="24"/>
                <w:szCs w:val="24"/>
                <w:highlight w:val="none"/>
              </w:rPr>
              <w:t xml:space="preserve">资质能力</w:t>
            </w:r>
            <w:r/>
          </w:p>
        </w:tc>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投标单位</w:t>
            </w:r>
            <w:r>
              <w:rPr>
                <w:rFonts w:hint="eastAsia" w:ascii="宋体" w:hAnsi="宋体" w:eastAsia="宋体" w:cs="宋体"/>
                <w:bCs/>
                <w:sz w:val="24"/>
                <w:szCs w:val="24"/>
                <w:highlight w:val="none"/>
                <w:lang w:val="en-US" w:eastAsia="zh-CN"/>
              </w:rPr>
              <w:t xml:space="preserve">（或联合体成员单位）</w:t>
            </w:r>
            <w:r>
              <w:rPr>
                <w:rFonts w:hint="eastAsia" w:ascii="宋体" w:hAnsi="宋体" w:eastAsia="宋体" w:cs="宋体"/>
                <w:sz w:val="24"/>
                <w:szCs w:val="24"/>
                <w:highlight w:val="none"/>
              </w:rPr>
              <w:t xml:space="preserve">具备中国合格评定国家认可委员会CNAS认证证书，得2分；</w:t>
            </w:r>
            <w:r/>
          </w:p>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CMA资质认定涉及海洋监测能力项目超过70项的得2分，50～70项的得1分，50项以下的不得分。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需提供CNAS认证证书、CMA资质认定证书及能力附表的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sz w:val="24"/>
                <w:szCs w:val="24"/>
                <w:highlight w:val="none"/>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监测分析时效性</w:t>
            </w:r>
            <w:r/>
          </w:p>
        </w:tc>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w:t>
            </w:r>
            <w:r>
              <w:rPr>
                <w:rFonts w:hint="eastAsia" w:ascii="宋体" w:hAnsi="宋体" w:eastAsia="宋体" w:cs="宋体"/>
                <w:bCs/>
                <w:sz w:val="24"/>
                <w:szCs w:val="24"/>
                <w:highlight w:val="none"/>
                <w:lang w:val="en-US" w:eastAsia="zh-CN"/>
              </w:rPr>
              <w:t xml:space="preserve">（或联合体成员单位）</w:t>
            </w:r>
            <w:r>
              <w:rPr>
                <w:rFonts w:hint="eastAsia" w:ascii="宋体" w:hAnsi="宋体" w:eastAsia="宋体" w:cs="宋体"/>
                <w:sz w:val="24"/>
                <w:szCs w:val="24"/>
                <w:highlight w:val="none"/>
              </w:rPr>
              <w:t xml:space="preserve">提供书面承诺函（格式自定），承诺接收样品转运车程小于4小时的，得1分；4-5小时的，得0.5分，大于5小时的，不得分。（转运车程时间以驾车时间计算，以百度</w:t>
            </w:r>
            <w:r>
              <w:rPr>
                <w:rFonts w:hint="eastAsia" w:ascii="宋体" w:hAnsi="宋体" w:eastAsia="宋体" w:cs="宋体"/>
                <w:sz w:val="24"/>
                <w:szCs w:val="24"/>
                <w:highlight w:val="none"/>
                <w:lang w:val="en-US" w:eastAsia="zh-CN"/>
              </w:rPr>
              <w:t xml:space="preserve">或高德</w:t>
            </w:r>
            <w:r>
              <w:rPr>
                <w:rFonts w:hint="eastAsia" w:ascii="宋体" w:hAnsi="宋体" w:eastAsia="宋体" w:cs="宋体"/>
                <w:sz w:val="24"/>
                <w:szCs w:val="24"/>
                <w:highlight w:val="none"/>
              </w:rPr>
              <w:t xml:space="preserve">地图驾车显示时长截图界面为证，驾驶起点为南通市如东县洋口渔港，驾驶终点为投标供应商CMA资质认定证书实验室地址）。</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285"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（或联合体成员单位）</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年1月1 日以来，获得国家级检测能力验证优秀（或满意）的，每有1个得0.5分。本项最高得5分。（</w:t>
            </w:r>
            <w:r>
              <w:rPr>
                <w:rFonts w:hint="eastAsia" w:ascii="宋体" w:hAnsi="宋体" w:eastAsia="宋体" w:cs="宋体"/>
                <w:b/>
                <w:sz w:val="24"/>
                <w:szCs w:val="24"/>
                <w:highlight w:val="none"/>
              </w:rPr>
              <w:t xml:space="preserve">提供相关证书</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Cs/>
                <w:sz w:val="24"/>
                <w:szCs w:val="24"/>
                <w:highlight w:val="none"/>
              </w:rPr>
              <w:t xml:space="preserve">）</w:t>
            </w:r>
            <w:r/>
          </w:p>
        </w:tc>
      </w:tr>
      <w:tr>
        <w:trPr>
          <w:trHeight w:val="1080"/>
        </w:trPr>
        <w:tc>
          <w:tcPr>
            <w:gridSpan w:val="4"/>
            <w:shd w:val="clear" w:color="auto" w:fill="auto"/>
            <w:tcBorders>
              <w:top w:val="single" w:color="auto" w:sz="4" w:space="0"/>
              <w:left w:val="single" w:color="auto" w:sz="4" w:space="0"/>
              <w:bottom w:val="single" w:color="auto" w:sz="4" w:space="0"/>
              <w:right w:val="single" w:color="auto" w:sz="4" w:space="0"/>
            </w:tcBorders>
            <w:tcW w:w="9136" w:type="dxa"/>
            <w:vAlign w:val="center"/>
            <w:textDirection w:val="lrTb"/>
            <w:noWrap w:val="false"/>
          </w:tcPr>
          <w:p>
            <w:pPr>
              <w:pStyle w:val="704"/>
              <w:ind w:firstLine="0"/>
              <w:spacing w:line="4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以上</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评分标准中要求提供的材料</w:t>
            </w:r>
            <w:r>
              <w:rPr>
                <w:rFonts w:hint="eastAsia" w:ascii="宋体" w:hAnsi="宋体" w:eastAsia="宋体" w:cs="宋体"/>
                <w:b/>
                <w:color w:val="auto"/>
                <w:sz w:val="24"/>
                <w:szCs w:val="24"/>
                <w:highlight w:val="none"/>
                <w:lang w:val="en-US" w:eastAsia="zh-CN"/>
              </w:rPr>
              <w:t xml:space="preserve">须</w:t>
            </w:r>
            <w:r>
              <w:rPr>
                <w:rFonts w:hint="eastAsia" w:ascii="宋体" w:hAnsi="宋体" w:eastAsia="宋体" w:cs="宋体"/>
                <w:b/>
                <w:color w:val="auto"/>
                <w:sz w:val="24"/>
                <w:szCs w:val="24"/>
                <w:highlight w:val="none"/>
              </w:rPr>
              <w:t xml:space="preserve">加盖投标人</w:t>
            </w:r>
            <w:r>
              <w:rPr>
                <w:rFonts w:hint="eastAsia" w:ascii="宋体" w:hAnsi="宋体" w:eastAsia="宋体" w:cs="宋体"/>
                <w:b/>
                <w:color w:val="auto"/>
                <w:sz w:val="24"/>
                <w:szCs w:val="24"/>
                <w:highlight w:val="none"/>
                <w:lang w:val="en-US" w:eastAsia="zh-CN"/>
              </w:rPr>
              <w:t xml:space="preserve">CA电子</w:t>
            </w:r>
            <w:r>
              <w:rPr>
                <w:rFonts w:hint="eastAsia" w:ascii="宋体" w:hAnsi="宋体" w:eastAsia="宋体" w:cs="宋体"/>
                <w:b/>
                <w:color w:val="auto"/>
                <w:sz w:val="24"/>
                <w:szCs w:val="24"/>
                <w:highlight w:val="none"/>
              </w:rPr>
              <w:t xml:space="preserve">公章</w:t>
            </w:r>
            <w:r>
              <w:rPr>
                <w:rFonts w:hint="eastAsia" w:ascii="宋体" w:hAnsi="宋体" w:eastAsia="宋体" w:cs="宋体"/>
                <w:b/>
                <w:color w:val="auto"/>
                <w:sz w:val="24"/>
                <w:szCs w:val="24"/>
                <w:highlight w:val="none"/>
                <w:lang w:eastAsia="zh-CN"/>
              </w:rPr>
              <w:t xml:space="preserve">。</w:t>
            </w:r>
            <w:r/>
          </w:p>
          <w:p>
            <w:pPr>
              <w:jc w:val="left"/>
              <w:widowControl/>
              <w:rPr>
                <w:rFonts w:hint="eastAsia" w:ascii="宋体" w:hAnsi="宋体" w:eastAsia="宋体" w:cs="宋体"/>
                <w:bCs/>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请投标人根据评分标准制作评分索引并放在评审内容的前面，评分索引中应标明每个评分点的页码范围，如投标文件内容顺序混乱，导致评委无法查看，后果自负。</w:t>
            </w:r>
            <w:r/>
          </w:p>
        </w:tc>
      </w:tr>
    </w:tbl>
    <w:p>
      <w:pPr>
        <w:ind w:firstLine="55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ind w:firstLine="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left"/>
        <w:widowControl/>
        <w:rPr>
          <w:rFonts w:hint="eastAsia" w:ascii="宋体" w:hAnsi="宋体" w:eastAsia="宋体" w:cs="宋体"/>
          <w:szCs w:val="20"/>
          <w:highlight w:val="none"/>
        </w:rPr>
      </w:pPr>
      <w:r>
        <w:rPr>
          <w:rFonts w:hint="eastAsia" w:ascii="宋体" w:hAnsi="宋体" w:eastAsia="宋体" w:cs="宋体"/>
          <w:highlight w:val="none"/>
        </w:rPr>
        <w:br w:type="page" w:clear="all"/>
      </w:r>
      <w:r/>
    </w:p>
    <w:p>
      <w:pPr>
        <w:pStyle w:val="704"/>
        <w:rPr>
          <w:rFonts w:hint="eastAsia" w:ascii="宋体" w:hAnsi="宋体" w:eastAsia="宋体" w:cs="宋体"/>
          <w:highlight w:val="none"/>
        </w:rPr>
      </w:pPr>
      <w:r>
        <w:rPr>
          <w:rFonts w:hint="eastAsia" w:ascii="宋体" w:hAnsi="宋体" w:eastAsia="宋体" w:cs="宋体"/>
          <w:highlight w:val="none"/>
        </w:rPr>
      </w:r>
      <w:r/>
    </w:p>
    <w:p>
      <w:pPr>
        <w:ind w:firstLine="2209"/>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第五章  合同文本格式</w:t>
      </w:r>
      <w:r/>
    </w:p>
    <w:p>
      <w:pPr>
        <w:rPr>
          <w:rFonts w:hint="eastAsia" w:ascii="宋体" w:hAnsi="宋体" w:eastAsia="宋体" w:cs="宋体"/>
          <w:highlight w:val="none"/>
        </w:rPr>
      </w:pPr>
      <w:r/>
      <w:bookmarkStart w:id="191" w:name="_Hlt16619350"/>
      <w:r/>
      <w:bookmarkEnd w:id="191"/>
      <w:r/>
    </w:p>
    <w:p>
      <w:pPr>
        <w:pStyle w:val="701"/>
        <w:jc w:val="both"/>
        <w:spacing w:line="225" w:lineRule="atLeast"/>
        <w:rPr>
          <w:rFonts w:hint="eastAsia" w:ascii="宋体" w:hAnsi="宋体" w:eastAsia="宋体" w:cs="宋体"/>
          <w:bCs/>
          <w:sz w:val="30"/>
          <w:highlight w:val="none"/>
        </w:rPr>
      </w:pPr>
      <w:r>
        <w:rPr>
          <w:rFonts w:hint="eastAsia" w:ascii="宋体" w:hAnsi="宋体" w:eastAsia="宋体" w:cs="宋体"/>
          <w:b/>
          <w:bCs/>
          <w:sz w:val="30"/>
          <w:szCs w:val="30"/>
          <w:highlight w:val="none"/>
        </w:rPr>
        <w:t xml:space="preserve">（本合同为参考合同，招标人可根据项目实际情况，在不改变实质性条款及招标文件精神的基础上作适当修改。招标人保留对合同文本的修改和完善的权利）</w:t>
      </w:r>
      <w:r/>
    </w:p>
    <w:p>
      <w:pPr>
        <w:jc w:val="center"/>
        <w:rPr>
          <w:rFonts w:hint="eastAsia" w:ascii="宋体" w:hAnsi="宋体" w:eastAsia="宋体" w:cs="宋体"/>
          <w:bCs/>
          <w:sz w:val="48"/>
          <w:szCs w:val="48"/>
          <w:highlight w:val="none"/>
        </w:rPr>
      </w:pPr>
      <w:r>
        <w:rPr>
          <w:rFonts w:hint="eastAsia" w:ascii="宋体" w:hAnsi="宋体" w:eastAsia="宋体" w:cs="宋体"/>
          <w:bCs/>
          <w:sz w:val="48"/>
          <w:szCs w:val="48"/>
          <w:highlight w:val="none"/>
        </w:rPr>
      </w:r>
      <w:r/>
    </w:p>
    <w:p>
      <w:pPr>
        <w:pStyle w:val="682"/>
        <w:ind w:left="0"/>
        <w:spacing w:line="219" w:lineRule="auto"/>
        <w:rPr>
          <w:rFonts w:hint="eastAsia" w:ascii="宋体" w:hAnsi="宋体" w:eastAsia="宋体" w:cs="宋体"/>
          <w:color w:val="auto"/>
          <w:highlight w:val="none"/>
        </w:rPr>
      </w:pPr>
      <w:r/>
      <w:bookmarkStart w:id="192" w:name="_Toc186493271"/>
      <w:r>
        <w:rPr>
          <w:rFonts w:hint="eastAsia" w:ascii="宋体" w:hAnsi="宋体" w:eastAsia="宋体" w:cs="宋体"/>
          <w:b/>
          <w:bCs/>
          <w:color w:val="auto"/>
          <w:spacing w:val="1"/>
          <w:highlight w:val="none"/>
        </w:rPr>
        <w:t xml:space="preserve">项目名称：如东县洋口镇202</w:t>
      </w:r>
      <w:r>
        <w:rPr>
          <w:rFonts w:hint="eastAsia" w:ascii="宋体" w:hAnsi="宋体" w:eastAsia="宋体" w:cs="宋体"/>
          <w:b/>
          <w:bCs/>
          <w:color w:val="auto"/>
          <w:spacing w:val="1"/>
          <w:highlight w:val="none"/>
          <w:lang w:val="en-US" w:eastAsia="zh-CN"/>
        </w:rPr>
        <w:t xml:space="preserve">6</w:t>
      </w:r>
      <w:r>
        <w:rPr>
          <w:rFonts w:hint="eastAsia" w:ascii="宋体" w:hAnsi="宋体" w:eastAsia="宋体" w:cs="宋体"/>
          <w:b/>
          <w:bCs/>
          <w:color w:val="auto"/>
          <w:spacing w:val="1"/>
          <w:highlight w:val="none"/>
        </w:rPr>
        <w:t xml:space="preserve">年度园区污水处理厂尾水排放用海及洋口镇海洋环境与渔业资源跟踪监测评价项目</w:t>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277"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70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867"/>
        <w:gridCol w:w="5280"/>
      </w:tblGrid>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single"/>
                <w:vertAlign w:val="baseline"/>
                <w:lang w:eastAsia="zh-CN"/>
              </w:rPr>
            </w:pPr>
            <w:r>
              <w:rPr>
                <w:rFonts w:hint="eastAsia" w:ascii="宋体" w:hAnsi="宋体" w:eastAsia="宋体" w:cs="宋体"/>
                <w:b/>
                <w:bCs/>
                <w:color w:val="auto"/>
                <w:spacing w:val="40"/>
                <w:sz w:val="32"/>
                <w:szCs w:val="32"/>
                <w:highlight w:val="none"/>
              </w:rPr>
              <w:t xml:space="preserve">甲</w:t>
            </w:r>
            <w:r>
              <w:rPr>
                <w:rFonts w:hint="eastAsia" w:ascii="宋体" w:hAnsi="宋体" w:eastAsia="宋体" w:cs="宋体"/>
                <w:b/>
                <w:bCs/>
                <w:color w:val="auto"/>
                <w:spacing w:val="40"/>
                <w:sz w:val="32"/>
                <w:szCs w:val="32"/>
                <w:highlight w:val="none"/>
                <w:lang w:val="en-US"/>
              </w:rPr>
              <w:t xml:space="preserve">  </w:t>
            </w:r>
            <w:r>
              <w:rPr>
                <w:rFonts w:hint="eastAsia" w:ascii="宋体" w:hAnsi="宋体" w:eastAsia="宋体" w:cs="宋体"/>
                <w:b/>
                <w:bCs/>
                <w:color w:val="auto"/>
                <w:spacing w:val="40"/>
                <w:sz w:val="32"/>
                <w:szCs w:val="32"/>
                <w:highlight w:val="none"/>
                <w:lang w:val="en-US" w:eastAsia="zh-CN"/>
              </w:rPr>
              <w:t xml:space="preserve"> </w:t>
            </w:r>
            <w:r>
              <w:rPr>
                <w:rFonts w:hint="eastAsia" w:ascii="宋体" w:hAnsi="宋体" w:eastAsia="宋体" w:cs="宋体"/>
                <w:b/>
                <w:bCs/>
                <w:color w:val="auto"/>
                <w:spacing w:val="40"/>
                <w:sz w:val="32"/>
                <w:szCs w:val="32"/>
                <w:highlight w:val="none"/>
                <w:lang w:val="en-US"/>
              </w:rPr>
              <w:t xml:space="preserve">   </w:t>
            </w:r>
            <w:r>
              <w:rPr>
                <w:rFonts w:hint="eastAsia" w:ascii="宋体" w:hAnsi="宋体" w:eastAsia="宋体" w:cs="宋体"/>
                <w:b/>
                <w:bCs/>
                <w:color w:val="auto"/>
                <w:spacing w:val="40"/>
                <w:sz w:val="32"/>
                <w:szCs w:val="32"/>
                <w:highlight w:val="none"/>
              </w:rPr>
              <w:t xml:space="preserve">方</w:t>
            </w:r>
            <w:r>
              <w:rPr>
                <w:rFonts w:hint="eastAsia" w:ascii="宋体" w:hAnsi="宋体" w:eastAsia="宋体" w:cs="宋体"/>
                <w:b/>
                <w:bCs/>
                <w:color w:val="auto"/>
                <w:spacing w:val="40"/>
                <w:sz w:val="32"/>
                <w:szCs w:val="32"/>
                <w:highlight w:val="none"/>
                <w:lang w:eastAsia="zh-CN"/>
              </w:rPr>
              <w:t xml:space="preserve">：</w:t>
            </w:r>
            <w:r/>
          </w:p>
        </w:tc>
        <w:tc>
          <w:tcPr>
            <w:tcBorders>
              <w:bottom w:val="single" w:color="auto" w:sz="12" w:space="0"/>
            </w:tcBorders>
            <w:tcW w:w="5280"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eastAsia="zh-CN" w:bidi="zh-CN"/>
              </w:rPr>
              <w:t xml:space="preserve">  如东县洋口镇人民政府  </w:t>
            </w:r>
            <w:r/>
          </w:p>
        </w:tc>
      </w:tr>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single"/>
                <w:vertAlign w:val="baseline"/>
                <w:lang w:val="zh-CN" w:eastAsia="zh-CN" w:bidi="zh-CN"/>
              </w:rPr>
            </w:pPr>
            <w:r>
              <w:rPr>
                <w:rFonts w:hint="eastAsia" w:ascii="宋体" w:hAnsi="宋体" w:eastAsia="宋体" w:cs="宋体"/>
                <w:b/>
                <w:bCs/>
                <w:color w:val="auto"/>
                <w:spacing w:val="40"/>
                <w:sz w:val="32"/>
                <w:szCs w:val="32"/>
                <w:highlight w:val="none"/>
              </w:rPr>
              <w:t xml:space="preserve">乙</w:t>
            </w:r>
            <w:r>
              <w:rPr>
                <w:rFonts w:hint="eastAsia" w:ascii="宋体" w:hAnsi="宋体" w:eastAsia="宋体" w:cs="宋体"/>
                <w:b/>
                <w:bCs/>
                <w:color w:val="auto"/>
                <w:spacing w:val="40"/>
                <w:sz w:val="32"/>
                <w:szCs w:val="32"/>
                <w:highlight w:val="none"/>
                <w:lang w:val="en-US"/>
              </w:rPr>
              <w:t xml:space="preserve">   </w:t>
            </w:r>
            <w:r>
              <w:rPr>
                <w:rFonts w:hint="eastAsia" w:ascii="宋体" w:hAnsi="宋体" w:eastAsia="宋体" w:cs="宋体"/>
                <w:b/>
                <w:bCs/>
                <w:color w:val="auto"/>
                <w:spacing w:val="40"/>
                <w:sz w:val="32"/>
                <w:szCs w:val="32"/>
                <w:highlight w:val="none"/>
                <w:lang w:val="en-US" w:eastAsia="zh-CN"/>
              </w:rPr>
              <w:t xml:space="preserve"> </w:t>
            </w:r>
            <w:r>
              <w:rPr>
                <w:rFonts w:hint="eastAsia" w:ascii="宋体" w:hAnsi="宋体" w:eastAsia="宋体" w:cs="宋体"/>
                <w:b/>
                <w:bCs/>
                <w:color w:val="auto"/>
                <w:spacing w:val="40"/>
                <w:sz w:val="32"/>
                <w:szCs w:val="32"/>
                <w:highlight w:val="none"/>
                <w:lang w:val="en-US"/>
              </w:rPr>
              <w:t xml:space="preserve"> </w:t>
            </w:r>
            <w:r>
              <w:rPr>
                <w:rFonts w:hint="eastAsia" w:ascii="宋体" w:hAnsi="宋体" w:eastAsia="宋体" w:cs="宋体"/>
                <w:b/>
                <w:bCs/>
                <w:color w:val="auto"/>
                <w:spacing w:val="40"/>
                <w:sz w:val="32"/>
                <w:szCs w:val="32"/>
                <w:highlight w:val="none"/>
                <w:lang w:val="en-US" w:eastAsia="zh-CN"/>
              </w:rPr>
              <w:t xml:space="preserve"> </w:t>
            </w:r>
            <w:r>
              <w:rPr>
                <w:rFonts w:hint="eastAsia" w:ascii="宋体" w:hAnsi="宋体" w:eastAsia="宋体" w:cs="宋体"/>
                <w:b/>
                <w:bCs/>
                <w:color w:val="auto"/>
                <w:spacing w:val="40"/>
                <w:sz w:val="32"/>
                <w:szCs w:val="32"/>
                <w:highlight w:val="none"/>
              </w:rPr>
              <w:t xml:space="preserve">方</w:t>
            </w:r>
            <w:r>
              <w:rPr>
                <w:rFonts w:hint="eastAsia" w:ascii="宋体" w:hAnsi="宋体" w:eastAsia="宋体" w:cs="宋体"/>
                <w:b/>
                <w:bCs/>
                <w:color w:val="auto"/>
                <w:spacing w:val="40"/>
                <w:sz w:val="32"/>
                <w:szCs w:val="32"/>
                <w:highlight w:val="none"/>
                <w:lang w:eastAsia="zh-CN"/>
              </w:rPr>
              <w:t xml:space="preserve">：</w:t>
            </w:r>
            <w:r/>
          </w:p>
        </w:tc>
        <w:tc>
          <w:tcPr>
            <w:tcBorders>
              <w:top w:val="single" w:color="auto" w:sz="12" w:space="0"/>
              <w:bottom w:val="single" w:color="auto" w:sz="12" w:space="0"/>
            </w:tcBorders>
            <w:tcW w:w="5280"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rPr>
              <w:t xml:space="preserve">  </w:t>
            </w:r>
            <w:r>
              <w:rPr>
                <w:rFonts w:hint="eastAsia" w:ascii="宋体" w:hAnsi="宋体" w:eastAsia="宋体" w:cs="宋体"/>
                <w:b/>
                <w:bCs/>
                <w:color w:val="auto"/>
                <w:spacing w:val="40"/>
                <w:sz w:val="32"/>
                <w:szCs w:val="32"/>
                <w:highlight w:val="none"/>
                <w:u w:val="none"/>
                <w:lang w:val="en-US" w:eastAsia="zh-CN"/>
              </w:rPr>
              <w:t xml:space="preserve">    </w:t>
            </w:r>
            <w:r>
              <w:rPr>
                <w:rFonts w:hint="eastAsia" w:ascii="宋体" w:hAnsi="宋体" w:eastAsia="宋体" w:cs="宋体"/>
                <w:b/>
                <w:bCs/>
                <w:color w:val="auto"/>
                <w:spacing w:val="40"/>
                <w:sz w:val="32"/>
                <w:szCs w:val="32"/>
                <w:highlight w:val="none"/>
                <w:u w:val="none"/>
                <w:lang w:val="en-US"/>
              </w:rPr>
              <w:t xml:space="preserve">   </w:t>
            </w:r>
            <w:r/>
          </w:p>
        </w:tc>
      </w:tr>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40"/>
                <w:sz w:val="32"/>
                <w:szCs w:val="32"/>
                <w:highlight w:val="none"/>
              </w:rPr>
            </w:pPr>
            <w:r>
              <w:rPr>
                <w:rFonts w:hint="eastAsia" w:ascii="宋体" w:hAnsi="宋体" w:eastAsia="宋体" w:cs="宋体"/>
                <w:b/>
                <w:bCs/>
                <w:color w:val="auto"/>
                <w:spacing w:val="40"/>
                <w:sz w:val="32"/>
                <w:szCs w:val="32"/>
                <w:highlight w:val="none"/>
              </w:rPr>
            </w:r>
            <w:r/>
          </w:p>
        </w:tc>
        <w:tc>
          <w:tcPr>
            <w:tcBorders>
              <w:top w:val="single" w:color="auto" w:sz="12" w:space="0"/>
              <w:bottom w:val="single" w:color="auto" w:sz="12" w:space="0"/>
            </w:tcBorders>
            <w:tcW w:w="5280" w:type="dxa"/>
            <w:vAlign w:val="bottom"/>
            <w:textDirection w:val="lrTb"/>
            <w:noWrap w:val="false"/>
          </w:tcPr>
          <w:p>
            <w:pPr>
              <w:jc w:val="left"/>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eastAsia="zh-CN" w:bidi="zh-CN"/>
              </w:rPr>
              <w:t xml:space="preserve">         </w:t>
            </w:r>
            <w:r/>
          </w:p>
        </w:tc>
      </w:tr>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single"/>
                <w:vertAlign w:val="baseline"/>
                <w:lang w:val="zh-CN" w:eastAsia="zh-CN" w:bidi="zh-CN"/>
              </w:rPr>
            </w:pPr>
            <w:r>
              <w:rPr>
                <w:rFonts w:hint="eastAsia" w:ascii="宋体" w:hAnsi="宋体" w:eastAsia="宋体" w:cs="宋体"/>
                <w:b/>
                <w:bCs/>
                <w:color w:val="auto"/>
                <w:spacing w:val="40"/>
                <w:sz w:val="32"/>
                <w:szCs w:val="32"/>
                <w:highlight w:val="none"/>
                <w:lang w:val="en-US"/>
              </w:rPr>
              <w:t xml:space="preserve">签 订 地 点</w:t>
            </w:r>
            <w:r>
              <w:rPr>
                <w:rFonts w:hint="eastAsia" w:ascii="宋体" w:hAnsi="宋体" w:eastAsia="宋体" w:cs="宋体"/>
                <w:b/>
                <w:bCs/>
                <w:color w:val="auto"/>
                <w:spacing w:val="40"/>
                <w:sz w:val="32"/>
                <w:szCs w:val="32"/>
                <w:highlight w:val="none"/>
                <w:lang w:val="en-US" w:eastAsia="zh-CN"/>
              </w:rPr>
              <w:t xml:space="preserve">：</w:t>
            </w:r>
            <w:r/>
          </w:p>
        </w:tc>
        <w:tc>
          <w:tcPr>
            <w:tcBorders>
              <w:top w:val="single" w:color="auto" w:sz="12" w:space="0"/>
              <w:bottom w:val="single" w:color="auto" w:sz="12" w:space="0"/>
            </w:tcBorders>
            <w:tcW w:w="5280" w:type="dxa"/>
            <w:vAlign w:val="bottom"/>
            <w:textDirection w:val="lrTb"/>
            <w:noWrap w:val="false"/>
          </w:tcPr>
          <w:p>
            <w:pPr>
              <w:jc w:val="left"/>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rPr>
              <w:t xml:space="preserve"> </w:t>
            </w:r>
            <w:r>
              <w:rPr>
                <w:rFonts w:hint="eastAsia" w:ascii="宋体" w:hAnsi="宋体" w:eastAsia="宋体" w:cs="宋体"/>
                <w:b/>
                <w:bCs/>
                <w:color w:val="auto"/>
                <w:spacing w:val="40"/>
                <w:sz w:val="32"/>
                <w:szCs w:val="32"/>
                <w:highlight w:val="none"/>
                <w:u w:val="none"/>
                <w:lang w:val="en-US" w:eastAsia="zh-CN"/>
              </w:rPr>
              <w:t xml:space="preserve"> </w:t>
            </w:r>
            <w:r>
              <w:rPr>
                <w:rFonts w:hint="eastAsia" w:ascii="宋体" w:hAnsi="宋体" w:eastAsia="宋体" w:cs="宋体"/>
                <w:b/>
                <w:bCs/>
                <w:color w:val="auto"/>
                <w:spacing w:val="40"/>
                <w:sz w:val="32"/>
                <w:szCs w:val="32"/>
                <w:highlight w:val="none"/>
                <w:u w:val="none"/>
                <w:lang w:val="en-US"/>
              </w:rPr>
              <w:t xml:space="preserve">江苏省南通市如东县 </w:t>
            </w:r>
            <w:r>
              <w:rPr>
                <w:rFonts w:hint="eastAsia" w:ascii="宋体" w:hAnsi="宋体" w:eastAsia="宋体" w:cs="宋体"/>
                <w:b/>
                <w:bCs/>
                <w:color w:val="auto"/>
                <w:spacing w:val="40"/>
                <w:sz w:val="32"/>
                <w:szCs w:val="32"/>
                <w:highlight w:val="none"/>
                <w:u w:val="none"/>
                <w:lang w:val="en-US" w:eastAsia="zh-CN"/>
              </w:rPr>
              <w:t xml:space="preserve"> </w:t>
            </w:r>
            <w:r>
              <w:rPr>
                <w:rFonts w:hint="eastAsia" w:ascii="宋体" w:hAnsi="宋体" w:eastAsia="宋体" w:cs="宋体"/>
                <w:b/>
                <w:bCs/>
                <w:color w:val="auto"/>
                <w:spacing w:val="40"/>
                <w:sz w:val="32"/>
                <w:szCs w:val="32"/>
                <w:highlight w:val="none"/>
                <w:u w:val="none"/>
                <w:lang w:val="en-US"/>
              </w:rPr>
              <w:t xml:space="preserve"> </w:t>
            </w:r>
            <w:r/>
          </w:p>
        </w:tc>
      </w:tr>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single"/>
                <w:vertAlign w:val="baseline"/>
                <w:lang w:val="zh-CN" w:eastAsia="zh-CN" w:bidi="zh-CN"/>
              </w:rPr>
            </w:pPr>
            <w:r>
              <w:rPr>
                <w:rFonts w:hint="eastAsia" w:ascii="宋体" w:hAnsi="宋体" w:eastAsia="宋体" w:cs="宋体"/>
                <w:b/>
                <w:bCs/>
                <w:color w:val="auto"/>
                <w:spacing w:val="40"/>
                <w:sz w:val="32"/>
                <w:szCs w:val="32"/>
                <w:highlight w:val="none"/>
                <w:lang w:val="en-US"/>
              </w:rPr>
              <w:t xml:space="preserve">签 订 时 间</w:t>
            </w:r>
            <w:r>
              <w:rPr>
                <w:rFonts w:hint="eastAsia" w:ascii="宋体" w:hAnsi="宋体" w:eastAsia="宋体" w:cs="宋体"/>
                <w:b/>
                <w:bCs/>
                <w:color w:val="auto"/>
                <w:spacing w:val="40"/>
                <w:sz w:val="32"/>
                <w:szCs w:val="32"/>
                <w:highlight w:val="none"/>
                <w:lang w:val="en-US" w:eastAsia="zh-CN"/>
              </w:rPr>
              <w:t xml:space="preserve">：</w:t>
            </w:r>
            <w:r/>
          </w:p>
        </w:tc>
        <w:tc>
          <w:tcPr>
            <w:tcBorders>
              <w:top w:val="single" w:color="auto" w:sz="12" w:space="0"/>
              <w:bottom w:val="single" w:color="auto" w:sz="12" w:space="0"/>
            </w:tcBorders>
            <w:tcW w:w="5280" w:type="dxa"/>
            <w:vAlign w:val="bottom"/>
            <w:textDirection w:val="lrTb"/>
            <w:noWrap w:val="false"/>
          </w:tcPr>
          <w:p>
            <w:pPr>
              <w:jc w:val="left"/>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rPr>
              <w:t xml:space="preserve">      年  月  日 </w:t>
            </w:r>
            <w:r>
              <w:rPr>
                <w:rFonts w:hint="eastAsia" w:ascii="宋体" w:hAnsi="宋体" w:eastAsia="宋体" w:cs="宋体"/>
                <w:b/>
                <w:bCs/>
                <w:color w:val="auto"/>
                <w:spacing w:val="40"/>
                <w:sz w:val="32"/>
                <w:szCs w:val="32"/>
                <w:highlight w:val="none"/>
                <w:u w:val="none"/>
                <w:lang w:val="en-US" w:eastAsia="zh-CN"/>
              </w:rPr>
              <w:t xml:space="preserve"> </w:t>
            </w:r>
            <w:r>
              <w:rPr>
                <w:rFonts w:hint="eastAsia" w:ascii="宋体" w:hAnsi="宋体" w:eastAsia="宋体" w:cs="宋体"/>
                <w:b/>
                <w:bCs/>
                <w:color w:val="auto"/>
                <w:spacing w:val="40"/>
                <w:sz w:val="32"/>
                <w:szCs w:val="32"/>
                <w:highlight w:val="none"/>
                <w:u w:val="none"/>
                <w:lang w:val="en-US"/>
              </w:rPr>
              <w:t xml:space="preserve"> </w:t>
            </w:r>
            <w:r>
              <w:rPr>
                <w:rFonts w:hint="eastAsia" w:ascii="宋体" w:hAnsi="宋体" w:eastAsia="宋体" w:cs="宋体"/>
                <w:b/>
                <w:bCs/>
                <w:color w:val="auto"/>
                <w:spacing w:val="40"/>
                <w:sz w:val="32"/>
                <w:szCs w:val="32"/>
                <w:highlight w:val="none"/>
                <w:u w:val="none"/>
                <w:lang w:val="en-US" w:eastAsia="zh-CN"/>
              </w:rPr>
              <w:t xml:space="preserve"> </w:t>
            </w:r>
            <w:r>
              <w:rPr>
                <w:rFonts w:hint="eastAsia" w:ascii="宋体" w:hAnsi="宋体" w:eastAsia="宋体" w:cs="宋体"/>
                <w:b/>
                <w:bCs/>
                <w:color w:val="auto"/>
                <w:spacing w:val="40"/>
                <w:sz w:val="32"/>
                <w:szCs w:val="32"/>
                <w:highlight w:val="none"/>
                <w:u w:val="none"/>
                <w:lang w:val="en-US"/>
              </w:rPr>
              <w:t xml:space="preserve"> </w:t>
            </w:r>
            <w:r/>
          </w:p>
        </w:tc>
      </w:tr>
      <w:tr>
        <w:trPr/>
        <w:tc>
          <w:tcPr>
            <w:tcW w:w="2867"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single"/>
                <w:vertAlign w:val="baseline"/>
                <w:lang w:val="zh-CN" w:eastAsia="zh-CN" w:bidi="zh-CN"/>
              </w:rPr>
            </w:pPr>
            <w:r>
              <w:rPr>
                <w:rFonts w:hint="eastAsia" w:ascii="宋体" w:hAnsi="宋体" w:eastAsia="宋体" w:cs="宋体"/>
                <w:b/>
                <w:bCs/>
                <w:color w:val="auto"/>
                <w:spacing w:val="40"/>
                <w:sz w:val="32"/>
                <w:szCs w:val="32"/>
                <w:highlight w:val="none"/>
                <w:lang w:val="en-US"/>
              </w:rPr>
              <w:t xml:space="preserve">合 同 期 限</w:t>
            </w:r>
            <w:r>
              <w:rPr>
                <w:rFonts w:hint="eastAsia" w:ascii="宋体" w:hAnsi="宋体" w:eastAsia="宋体" w:cs="宋体"/>
                <w:b/>
                <w:bCs/>
                <w:color w:val="auto"/>
                <w:spacing w:val="40"/>
                <w:sz w:val="32"/>
                <w:szCs w:val="32"/>
                <w:highlight w:val="none"/>
                <w:lang w:val="en-US" w:eastAsia="zh-CN"/>
              </w:rPr>
              <w:t xml:space="preserve">：</w:t>
            </w:r>
            <w:r/>
          </w:p>
        </w:tc>
        <w:tc>
          <w:tcPr>
            <w:tcBorders>
              <w:top w:val="single" w:color="auto" w:sz="12" w:space="0"/>
              <w:bottom w:val="single" w:color="auto" w:sz="12" w:space="0"/>
            </w:tcBorders>
            <w:tcW w:w="5280" w:type="dxa"/>
            <w:vAlign w:val="bottom"/>
            <w:textDirection w:val="lrTb"/>
            <w:noWrap w:val="false"/>
          </w:tcPr>
          <w:p>
            <w:pPr>
              <w:ind w:right="-260"/>
              <w:jc w:val="left"/>
              <w:spacing w:line="360" w:lineRule="auto"/>
              <w:rPr>
                <w:rFonts w:hint="eastAsia" w:ascii="宋体" w:hAnsi="宋体" w:eastAsia="宋体" w:cs="宋体"/>
                <w:b/>
                <w:bCs/>
                <w:color w:val="auto"/>
                <w:spacing w:val="12"/>
                <w:sz w:val="32"/>
                <w:szCs w:val="32"/>
                <w:highlight w:val="none"/>
                <w:u w:val="none"/>
                <w:vertAlign w:val="baseline"/>
              </w:rPr>
            </w:pPr>
            <w:r>
              <w:rPr>
                <w:rFonts w:hint="eastAsia" w:ascii="宋体" w:hAnsi="宋体" w:eastAsia="宋体" w:cs="宋体"/>
                <w:b/>
                <w:bCs/>
                <w:color w:val="auto"/>
                <w:spacing w:val="40"/>
                <w:sz w:val="32"/>
                <w:szCs w:val="32"/>
                <w:highlight w:val="none"/>
                <w:u w:val="none"/>
                <w:lang w:val="en-US"/>
              </w:rPr>
              <w:t xml:space="preserve">  合同生效之日起一年</w:t>
            </w:r>
            <w:r>
              <w:rPr>
                <w:rFonts w:hint="eastAsia" w:ascii="宋体" w:hAnsi="宋体" w:eastAsia="宋体" w:cs="宋体"/>
                <w:b/>
                <w:bCs/>
                <w:color w:val="auto"/>
                <w:spacing w:val="40"/>
                <w:sz w:val="32"/>
                <w:szCs w:val="32"/>
                <w:highlight w:val="none"/>
                <w:u w:val="none"/>
                <w:lang w:val="en-US" w:eastAsia="zh-CN"/>
              </w:rPr>
              <w:t xml:space="preserve">   </w:t>
            </w:r>
            <w:r/>
          </w:p>
        </w:tc>
      </w:tr>
    </w:tbl>
    <w:p>
      <w:pPr>
        <w:ind w:right="-260"/>
        <w:jc w:val="center"/>
        <w:spacing w:line="360" w:lineRule="auto"/>
        <w:rPr>
          <w:rFonts w:hint="eastAsia" w:ascii="宋体" w:hAnsi="宋体" w:eastAsia="宋体" w:cs="宋体"/>
          <w:color w:val="auto"/>
          <w:spacing w:val="12"/>
          <w:highlight w:val="none"/>
          <w:u w:val="single"/>
        </w:rPr>
      </w:pPr>
      <w:r>
        <w:rPr>
          <w:rFonts w:hint="eastAsia" w:ascii="宋体" w:hAnsi="宋体" w:eastAsia="宋体" w:cs="宋体"/>
          <w:color w:val="auto"/>
          <w:spacing w:val="12"/>
          <w:highlight w:val="none"/>
          <w:u w:val="single"/>
        </w:rPr>
      </w:r>
      <w:r/>
    </w:p>
    <w:p>
      <w:pPr>
        <w:ind w:right="-260"/>
        <w:jc w:val="center"/>
        <w:spacing w:line="360" w:lineRule="auto"/>
        <w:rPr>
          <w:rFonts w:hint="eastAsia" w:ascii="宋体" w:hAnsi="宋体" w:eastAsia="宋体" w:cs="宋体"/>
          <w:color w:val="auto"/>
          <w:spacing w:val="12"/>
          <w:highlight w:val="none"/>
          <w:u w:val="single"/>
        </w:rPr>
      </w:pPr>
      <w:r>
        <w:rPr>
          <w:rFonts w:hint="eastAsia" w:ascii="宋体" w:hAnsi="宋体" w:eastAsia="宋体" w:cs="宋体"/>
          <w:color w:val="auto"/>
          <w:spacing w:val="12"/>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260"/>
        <w:jc w:val="center"/>
        <w:spacing w:line="360" w:lineRule="auto"/>
        <w:rPr>
          <w:rFonts w:hint="eastAsia" w:ascii="宋体" w:hAnsi="宋体" w:eastAsia="宋体" w:cs="宋体"/>
          <w:color w:val="auto"/>
          <w:spacing w:val="12"/>
          <w:highlight w:val="none"/>
          <w:u w:val="single"/>
        </w:rPr>
      </w:pPr>
      <w:r>
        <w:rPr>
          <w:rFonts w:hint="eastAsia" w:ascii="宋体" w:hAnsi="宋体" w:eastAsia="宋体" w:cs="宋体"/>
          <w:color w:val="auto"/>
          <w:spacing w:val="12"/>
          <w:highlight w:val="none"/>
          <w:u w:val="single"/>
        </w:rPr>
      </w:r>
      <w:r/>
    </w:p>
    <w:p>
      <w:pPr>
        <w:ind w:right="-260"/>
        <w:jc w:val="center"/>
        <w:spacing w:line="360" w:lineRule="auto"/>
        <w:rPr>
          <w:rFonts w:hint="eastAsia" w:ascii="宋体" w:hAnsi="宋体" w:eastAsia="宋体" w:cs="宋体"/>
          <w:color w:val="auto"/>
          <w:spacing w:val="12"/>
          <w:highlight w:val="none"/>
          <w:u w:val="single"/>
        </w:rPr>
        <w:sectPr>
          <w:footnotePr/>
          <w:endnotePr/>
          <w:type w:val="nextPage"/>
          <w:pgSz w:w="11906" w:h="16838" w:orient="portrait"/>
          <w:pgMar w:top="1440" w:right="1519" w:bottom="1440" w:left="1519" w:header="851" w:footer="992" w:gutter="0"/>
          <w:cols w:num="1" w:sep="0" w:space="720" w:equalWidth="1"/>
          <w:docGrid w:linePitch="360"/>
        </w:sectPr>
      </w:pPr>
      <w:r>
        <w:rPr>
          <w:rFonts w:hint="eastAsia" w:ascii="宋体" w:hAnsi="宋体" w:eastAsia="宋体" w:cs="宋体"/>
          <w:color w:val="auto"/>
          <w:spacing w:val="12"/>
          <w:highlight w:val="none"/>
          <w:u w:val="single"/>
        </w:rPr>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u w:val="single"/>
        </w:rPr>
        <w:t xml:space="preserve">如东县洋口镇人民政府</w:t>
      </w:r>
      <w:r>
        <w:rPr>
          <w:rFonts w:hint="eastAsia" w:ascii="宋体" w:hAnsi="宋体" w:eastAsia="宋体" w:cs="宋体"/>
          <w:bCs/>
          <w:color w:val="auto"/>
          <w:sz w:val="24"/>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住所地：</w:t>
      </w:r>
      <w:r>
        <w:rPr>
          <w:rFonts w:hint="eastAsia" w:ascii="宋体" w:hAnsi="宋体" w:eastAsia="宋体" w:cs="宋体"/>
          <w:bCs/>
          <w:color w:val="auto"/>
          <w:sz w:val="24"/>
          <w:highlight w:val="none"/>
          <w:u w:val="single"/>
        </w:rPr>
        <w:t xml:space="preserve">如东县洋口镇</w:t>
      </w:r>
      <w:r>
        <w:rPr>
          <w:rFonts w:hint="eastAsia" w:ascii="宋体" w:hAnsi="宋体" w:eastAsia="宋体" w:cs="宋体"/>
          <w:bCs/>
          <w:color w:val="auto"/>
          <w:sz w:val="24"/>
          <w:highlight w:val="none"/>
          <w:u w:val="single"/>
          <w:lang w:val="en-US" w:eastAsia="zh-CN"/>
        </w:rPr>
        <w:t xml:space="preserve">渔港大道501号</w:t>
      </w:r>
      <w:r/>
    </w:p>
    <w:p>
      <w:pPr>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color w:val="auto"/>
          <w:spacing w:val="8"/>
          <w:sz w:val="24"/>
          <w:szCs w:val="24"/>
          <w:highlight w:val="none"/>
        </w:rPr>
        <w:t xml:space="preserve">乙方: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住所地：</w:t>
      </w:r>
      <w:r>
        <w:rPr>
          <w:rFonts w:hint="eastAsia" w:ascii="宋体" w:hAnsi="宋体" w:eastAsia="宋体" w:cs="宋体"/>
          <w:bCs/>
          <w:color w:val="auto"/>
          <w:sz w:val="24"/>
          <w:highlight w:val="none"/>
          <w:u w:val="single"/>
          <w:lang w:val="en-US" w:eastAsia="zh-CN"/>
        </w:rPr>
        <w:t xml:space="preserve">     </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甲乙双方就</w:t>
      </w:r>
      <w:r>
        <w:rPr>
          <w:rFonts w:hint="eastAsia" w:ascii="宋体" w:hAnsi="宋体" w:eastAsia="宋体" w:cs="宋体"/>
          <w:color w:val="auto"/>
          <w:sz w:val="24"/>
          <w:szCs w:val="24"/>
          <w:highlight w:val="none"/>
          <w:u w:val="single"/>
        </w:rPr>
        <w:t xml:space="preserve"> 如东县洋口镇202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年度园区污水处理厂尾水排放用海及洋口镇海洋环境与渔业资源跟踪监测评价项目</w:t>
      </w:r>
      <w:r>
        <w:rPr>
          <w:rFonts w:hint="eastAsia" w:ascii="宋体" w:hAnsi="宋体" w:eastAsia="宋体" w:cs="宋体"/>
          <w:color w:val="auto"/>
          <w:sz w:val="24"/>
          <w:szCs w:val="24"/>
          <w:highlight w:val="none"/>
        </w:rPr>
        <w:t xml:space="preserve">进行技术咨询并支付咨询报酬等事宜，双方经过平等协商，在真实充分地表达各自意愿的基础上，根据《中华人民共和国民法典》及相关法律规定，</w:t>
      </w:r>
      <w:r>
        <w:rPr>
          <w:rFonts w:hint="eastAsia" w:ascii="宋体" w:hAnsi="宋体" w:eastAsia="宋体" w:cs="宋体"/>
          <w:color w:val="auto"/>
          <w:sz w:val="24"/>
          <w:szCs w:val="24"/>
          <w:highlight w:val="none"/>
          <w:lang w:val="en-US"/>
        </w:rPr>
        <w:t xml:space="preserve">签订本合同</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第一条  乙方进行技术咨询的内容、要求和方式: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1.咨询内容:</w:t>
      </w:r>
      <w:r>
        <w:rPr>
          <w:rFonts w:hint="eastAsia" w:ascii="宋体" w:hAnsi="宋体" w:eastAsia="宋体" w:cs="宋体"/>
          <w:color w:val="auto"/>
          <w:sz w:val="24"/>
          <w:szCs w:val="24"/>
          <w:highlight w:val="none"/>
          <w:u w:val="single"/>
        </w:rPr>
        <w:t xml:space="preserve">依据国家相关法律法规，完成如东县洋口镇202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年度园区污水处理厂尾水排放用海及洋口镇海洋环境与渔业资源跟踪监测评价项目。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2.咨询要求:</w:t>
      </w:r>
      <w:r>
        <w:rPr>
          <w:rFonts w:hint="eastAsia" w:ascii="宋体" w:hAnsi="宋体" w:eastAsia="宋体" w:cs="宋体"/>
          <w:color w:val="auto"/>
          <w:sz w:val="24"/>
          <w:szCs w:val="24"/>
          <w:highlight w:val="none"/>
          <w:u w:val="single"/>
        </w:rPr>
        <w:t xml:space="preserve">乙方在收到甲方全部资料后，按照甲方提供资料要求进行每季航次CMA检测报告</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或数据报表</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和分析评价报告编制工作。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3.咨询方式</w:t>
      </w:r>
      <w:r>
        <w:rPr>
          <w:rFonts w:hint="eastAsia" w:ascii="宋体" w:hAnsi="宋体" w:eastAsia="宋体" w:cs="宋体"/>
          <w:color w:val="auto"/>
          <w:sz w:val="24"/>
          <w:szCs w:val="24"/>
          <w:highlight w:val="none"/>
          <w:u w:val="single"/>
        </w:rPr>
        <w:t xml:space="preserve">:数据分析测试与质量保证应满足《海洋监测规范》GB17378.2～GB17378.7及《海洋调查规范》GB12763.2～GB12763.7有关要求。</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乙方应当按照下列进度要求进行本合同项目的技术咨询工作:</w:t>
      </w:r>
      <w:r/>
    </w:p>
    <w:p>
      <w:pPr>
        <w:ind w:left="0" w:firstLine="480"/>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u w:val="single"/>
        </w:rPr>
        <w:t xml:space="preserve">双方签订合同，甲方资料全部提供给乙方，乙方出具书面的资料接收手续后，需在服务期内完成所有项目的监测并出具相应的报告成果：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1.水质：于202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年春季、秋季的涨、落潮各进行一次监测。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2.沉积物：于202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年春季、秋季各进行一次监测。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3.生态：于202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年春季、秋季各进行一次监测。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4.生物质量：于202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年春季、秋季各进行一次监测。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5.渔业资源：于202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年春季、秋季各进行一次监测。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备注：部分站位如受水深影响无法采样，现场可根据实际情况就近调整。</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为保证乙方有效进行技术咨询工作, 甲方应当向乙方提供下列协作事项: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提供技术资料:</w:t>
      </w:r>
      <w:r>
        <w:rPr>
          <w:rFonts w:hint="eastAsia" w:ascii="宋体" w:hAnsi="宋体" w:eastAsia="宋体" w:cs="宋体"/>
          <w:color w:val="auto"/>
          <w:sz w:val="24"/>
          <w:szCs w:val="24"/>
          <w:highlight w:val="none"/>
          <w:u w:val="single"/>
        </w:rPr>
        <w:t xml:space="preserve">及时交付乙方提交的资料清单资料，有情况及时与甲方沟通说明。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提供工作条件: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 甲方提供上述协作事项的时间及方式:</w:t>
      </w:r>
      <w:r>
        <w:rPr>
          <w:rFonts w:hint="eastAsia" w:ascii="宋体" w:hAnsi="宋体" w:eastAsia="宋体" w:cs="宋体"/>
          <w:color w:val="auto"/>
          <w:sz w:val="24"/>
          <w:szCs w:val="24"/>
          <w:highlight w:val="none"/>
          <w:u w:val="single"/>
        </w:rPr>
        <w:t xml:space="preserve">乙方提交给甲方资料清单后3天内，甲方按照乙方资料清单要求提交全部资料。</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甲方向乙方支付技术咨询报酬及支付方式为: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1.技术咨询报酬总额（含税价）为: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本合同价格应包括但不限于乙方完成本项目所有工作内容和提供服务所需的调查费、劳务费、研究费、会务费、评审费、咨询费、管理费、利润、税金、交通食宿费等全部费用。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2.支付方式和时间如下: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签订合同后付合同价的40%，春季</w:t>
      </w:r>
      <w:r>
        <w:rPr>
          <w:rFonts w:hint="eastAsia" w:ascii="宋体" w:hAnsi="宋体" w:cs="宋体"/>
          <w:color w:val="auto"/>
          <w:sz w:val="24"/>
          <w:szCs w:val="24"/>
          <w:highlight w:val="none"/>
          <w:lang w:val="en-US" w:eastAsia="zh-CN"/>
        </w:rPr>
        <w:t xml:space="preserve">任务完成</w:t>
      </w:r>
      <w:r>
        <w:rPr>
          <w:rFonts w:hint="eastAsia" w:ascii="宋体" w:hAnsi="宋体" w:eastAsia="宋体" w:cs="宋体"/>
          <w:color w:val="auto"/>
          <w:sz w:val="24"/>
          <w:szCs w:val="24"/>
          <w:highlight w:val="none"/>
          <w:lang w:val="en-US" w:eastAsia="zh-CN"/>
        </w:rPr>
        <w:t xml:space="preserve">出具</w:t>
      </w:r>
      <w:r>
        <w:rPr>
          <w:rFonts w:hint="eastAsia" w:ascii="宋体" w:hAnsi="宋体" w:cs="宋体"/>
          <w:color w:val="auto"/>
          <w:sz w:val="24"/>
          <w:szCs w:val="24"/>
          <w:highlight w:val="none"/>
          <w:lang w:val="en-US" w:eastAsia="zh-CN"/>
        </w:rPr>
        <w:t xml:space="preserve">当季</w:t>
      </w:r>
      <w:r>
        <w:rPr>
          <w:rFonts w:hint="eastAsia" w:ascii="宋体" w:hAnsi="宋体" w:eastAsia="宋体" w:cs="宋体"/>
          <w:color w:val="auto"/>
          <w:sz w:val="24"/>
          <w:szCs w:val="24"/>
          <w:highlight w:val="none"/>
          <w:lang w:val="en-US" w:eastAsia="zh-CN"/>
        </w:rPr>
        <w:t xml:space="preserve">CMA检测报告</w:t>
      </w:r>
      <w:r>
        <w:rPr>
          <w:rFonts w:hint="eastAsia" w:ascii="宋体" w:hAnsi="宋体" w:cs="宋体"/>
          <w:color w:val="auto"/>
          <w:sz w:val="24"/>
          <w:szCs w:val="24"/>
          <w:highlight w:val="none"/>
          <w:lang w:val="en-US" w:eastAsia="zh-CN"/>
        </w:rPr>
        <w:t xml:space="preserve">（或数据报表）和分析评价报告</w:t>
      </w:r>
      <w:r>
        <w:rPr>
          <w:rFonts w:hint="eastAsia" w:ascii="宋体" w:hAnsi="宋体" w:eastAsia="宋体" w:cs="宋体"/>
          <w:color w:val="auto"/>
          <w:sz w:val="24"/>
          <w:szCs w:val="24"/>
          <w:highlight w:val="none"/>
          <w:lang w:val="en-US" w:eastAsia="zh-CN"/>
        </w:rPr>
        <w:t xml:space="preserve">后付至合同价的70%，余款在服务期满且出具</w:t>
      </w:r>
      <w:r>
        <w:rPr>
          <w:rFonts w:hint="eastAsia" w:ascii="宋体" w:hAnsi="宋体" w:cs="宋体"/>
          <w:color w:val="auto"/>
          <w:sz w:val="24"/>
          <w:szCs w:val="24"/>
          <w:highlight w:val="none"/>
          <w:lang w:val="en-US" w:eastAsia="zh-CN"/>
        </w:rPr>
        <w:t xml:space="preserve">秋季</w:t>
      </w:r>
      <w:r>
        <w:rPr>
          <w:rFonts w:hint="eastAsia" w:ascii="宋体" w:hAnsi="宋体" w:eastAsia="宋体" w:cs="宋体"/>
          <w:color w:val="auto"/>
          <w:sz w:val="24"/>
          <w:szCs w:val="24"/>
          <w:highlight w:val="none"/>
          <w:lang w:val="en-US" w:eastAsia="zh-CN"/>
        </w:rPr>
        <w:t xml:space="preserve">CMA检测报告</w:t>
      </w:r>
      <w:r>
        <w:rPr>
          <w:rFonts w:hint="eastAsia" w:ascii="宋体" w:hAnsi="宋体" w:cs="宋体"/>
          <w:color w:val="auto"/>
          <w:sz w:val="24"/>
          <w:szCs w:val="24"/>
          <w:highlight w:val="none"/>
          <w:lang w:val="en-US" w:eastAsia="zh-CN"/>
        </w:rPr>
        <w:t xml:space="preserve">（或数据报表）</w:t>
      </w:r>
      <w:r>
        <w:rPr>
          <w:rFonts w:hint="eastAsia" w:ascii="宋体" w:hAnsi="宋体" w:eastAsia="宋体" w:cs="宋体"/>
          <w:color w:val="auto"/>
          <w:sz w:val="24"/>
          <w:szCs w:val="24"/>
          <w:highlight w:val="none"/>
          <w:lang w:val="en-US" w:eastAsia="zh-CN"/>
        </w:rPr>
        <w:t xml:space="preserve">和分析评价报告后付清。 </w:t>
      </w:r>
      <w:r/>
    </w:p>
    <w:p>
      <w:pPr>
        <w:pStyle w:val="682"/>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w:t>
      </w:r>
      <w:r>
        <w:rPr>
          <w:rFonts w:hint="eastAsia" w:ascii="宋体" w:hAnsi="宋体" w:eastAsia="宋体" w:cs="宋体"/>
          <w:color w:val="auto"/>
          <w:sz w:val="24"/>
          <w:szCs w:val="24"/>
          <w:highlight w:val="none"/>
          <w:lang w:val="en-US"/>
        </w:rPr>
        <w:t xml:space="preserve">指定收款</w:t>
      </w:r>
      <w:r>
        <w:rPr>
          <w:rFonts w:hint="eastAsia" w:ascii="宋体" w:hAnsi="宋体" w:eastAsia="宋体" w:cs="宋体"/>
          <w:color w:val="auto"/>
          <w:sz w:val="24"/>
          <w:szCs w:val="24"/>
          <w:highlight w:val="none"/>
        </w:rPr>
        <w:t xml:space="preserve">银行账户信息为：</w:t>
      </w:r>
      <w:r/>
    </w:p>
    <w:p>
      <w:pPr>
        <w:pStyle w:val="68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账户名称：</w:t>
      </w:r>
      <w:r>
        <w:rPr>
          <w:rFonts w:hint="eastAsia" w:ascii="宋体" w:hAnsi="宋体" w:eastAsia="宋体" w:cs="宋体"/>
          <w:color w:val="auto"/>
          <w:sz w:val="24"/>
          <w:szCs w:val="24"/>
          <w:highlight w:val="none"/>
          <w:lang w:val="en-US" w:eastAsia="zh-CN"/>
        </w:rPr>
        <w:t xml:space="preserve"> </w:t>
      </w:r>
      <w:r/>
    </w:p>
    <w:p>
      <w:pPr>
        <w:pStyle w:val="68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 </w:t>
      </w:r>
      <w:r/>
    </w:p>
    <w:p>
      <w:pPr>
        <w:pStyle w:val="68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lang w:val="en-US" w:eastAsia="zh-CN"/>
        </w:rPr>
        <w:t xml:space="preserve"> </w:t>
      </w:r>
      <w:r/>
    </w:p>
    <w:p>
      <w:pPr>
        <w:numPr>
          <w:ilvl w:val="-1"/>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乙方需向甲方提供对应金额的增值税发票作为甲方付款的前提条件之一。</w:t>
      </w:r>
      <w:r/>
    </w:p>
    <w:p>
      <w:pPr>
        <w:numPr>
          <w:ilvl w:val="-1"/>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u w:val="none"/>
          <w:lang w:val="en-US" w:eastAsia="zh-CN"/>
        </w:rPr>
        <w:t xml:space="preserve">4.</w:t>
      </w:r>
      <w:r>
        <w:rPr>
          <w:rFonts w:hint="eastAsia" w:ascii="宋体" w:hAnsi="宋体" w:eastAsia="宋体" w:cs="宋体"/>
          <w:b w:val="0"/>
          <w:bCs w:val="0"/>
          <w:color w:val="auto"/>
          <w:sz w:val="24"/>
          <w:szCs w:val="24"/>
          <w:highlight w:val="none"/>
          <w:u w:val="none"/>
        </w:rPr>
        <w:t xml:space="preserve">本项目履约保证金为中标价的3%</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，由</w:t>
      </w:r>
      <w:r>
        <w:rPr>
          <w:rFonts w:hint="eastAsia" w:ascii="宋体" w:hAnsi="宋体" w:eastAsia="宋体" w:cs="宋体"/>
          <w:color w:val="auto"/>
          <w:sz w:val="24"/>
          <w:szCs w:val="24"/>
          <w:highlight w:val="none"/>
          <w:lang w:val="en-US"/>
        </w:rPr>
        <w:t xml:space="preserve">联合体</w:t>
      </w:r>
      <w:r>
        <w:rPr>
          <w:rFonts w:hint="eastAsia" w:ascii="宋体" w:hAnsi="宋体" w:eastAsia="宋体" w:cs="宋体"/>
          <w:color w:val="auto"/>
          <w:sz w:val="24"/>
          <w:szCs w:val="24"/>
          <w:highlight w:val="none"/>
          <w:lang w:val="en-US" w:eastAsia="zh-CN"/>
        </w:rPr>
        <w:t xml:space="preserve">牵头单位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支付</w:t>
      </w:r>
      <w:r>
        <w:rPr>
          <w:rFonts w:hint="eastAsia" w:ascii="宋体" w:hAnsi="宋体" w:eastAsia="宋体" w:cs="宋体"/>
          <w:b/>
          <w:bCs/>
          <w:sz w:val="24"/>
          <w:szCs w:val="24"/>
          <w:highlight w:val="none"/>
          <w:u w:val="none"/>
        </w:rPr>
        <w:t xml:space="preserve">。</w:t>
      </w:r>
      <w:r>
        <w:rPr>
          <w:rFonts w:hint="eastAsia" w:ascii="宋体" w:hAnsi="宋体" w:eastAsia="宋体" w:cs="宋体"/>
          <w:sz w:val="24"/>
          <w:szCs w:val="24"/>
          <w:highlight w:val="none"/>
          <w:u w:val="none"/>
        </w:rPr>
        <w:t xml:space="preserve">在</w:t>
      </w:r>
      <w:r>
        <w:rPr>
          <w:rFonts w:hint="eastAsia" w:ascii="宋体" w:hAnsi="宋体" w:eastAsia="宋体" w:cs="宋体"/>
          <w:sz w:val="24"/>
          <w:szCs w:val="24"/>
          <w:highlight w:val="none"/>
          <w:u w:val="none"/>
          <w:lang w:val="en-US" w:eastAsia="zh-CN"/>
        </w:rPr>
        <w:t xml:space="preserve">完成合同约定工作任务并提交相应成果</w:t>
      </w:r>
      <w:r>
        <w:rPr>
          <w:rFonts w:hint="eastAsia" w:ascii="宋体" w:hAnsi="宋体" w:eastAsia="宋体" w:cs="宋体"/>
          <w:sz w:val="24"/>
          <w:szCs w:val="24"/>
          <w:highlight w:val="none"/>
          <w:u w:val="none"/>
        </w:rPr>
        <w:t xml:space="preserve">经验收合格后，</w:t>
      </w:r>
      <w:r>
        <w:rPr>
          <w:rFonts w:hint="eastAsia" w:ascii="宋体" w:hAnsi="宋体" w:eastAsia="宋体" w:cs="宋体"/>
          <w:sz w:val="24"/>
          <w:szCs w:val="24"/>
          <w:highlight w:val="none"/>
          <w:u w:val="none"/>
          <w:lang w:val="en-US" w:eastAsia="zh-CN"/>
        </w:rPr>
        <w:t xml:space="preserve">乙方凭</w:t>
      </w:r>
      <w:r>
        <w:rPr>
          <w:rFonts w:hint="eastAsia" w:ascii="宋体" w:hAnsi="宋体" w:eastAsia="宋体" w:cs="宋体"/>
          <w:sz w:val="24"/>
          <w:szCs w:val="24"/>
          <w:highlight w:val="none"/>
          <w:u w:val="none"/>
        </w:rPr>
        <w:t xml:space="preserve">履约保证金收条原件等相关材料，办理保证金退还手续，履约保证金予以全额无息退还。</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第五条  双方确定因履行本合同应遵守的保密义务如下:乙方对甲方提供的资料应当保密，未经甲方书面许可，不得提供给任何第三方。</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本合同的变更必须由双方协商一致，并以书面形式确定。但有下列情形之一的,一方可以向另外一方提出变更合同权利与义务的请求，另一方应当在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b/>
          <w:color w:val="auto"/>
          <w:sz w:val="24"/>
          <w:szCs w:val="24"/>
          <w:highlight w:val="none"/>
        </w:rPr>
        <w:t xml:space="preserve">日内予以答复;逾期未予答复的，视为同意。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(1)甲方项目建设内容有重大调整需要重新申报；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(2)甲方向乙方提交的基础资料有重大变化(如项目选址改变等)上；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(3)在场调过程中国家、省或地方管理部门出台新的政策影响项目的进展；</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t xml:space="preserve">(4)其</w:t>
      </w:r>
      <w:r>
        <w:rPr>
          <w:rFonts w:hint="eastAsia" w:ascii="宋体" w:hAnsi="宋体" w:eastAsia="宋体" w:cs="宋体"/>
          <w:b w:val="0"/>
          <w:bCs/>
          <w:color w:val="auto"/>
          <w:sz w:val="24"/>
          <w:szCs w:val="24"/>
          <w:highlight w:val="none"/>
          <w:u w:val="single"/>
          <w:lang w:val="en-US" w:eastAsia="zh-CN"/>
        </w:rPr>
        <w:t xml:space="preserve">它</w:t>
      </w:r>
      <w:r>
        <w:rPr>
          <w:rFonts w:hint="eastAsia" w:ascii="宋体" w:hAnsi="宋体" w:eastAsia="宋体" w:cs="宋体"/>
          <w:b w:val="0"/>
          <w:bCs/>
          <w:color w:val="auto"/>
          <w:sz w:val="24"/>
          <w:szCs w:val="24"/>
          <w:highlight w:val="none"/>
          <w:u w:val="single"/>
        </w:rPr>
        <w:t xml:space="preserve">不可预见的需变更合同权利与义务的情况。</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双方确定按以下标准和方式对乙方提交的技术咨询工作成果进行验收:</w:t>
      </w:r>
      <w:r>
        <w:rPr>
          <w:rFonts w:hint="eastAsia" w:ascii="宋体" w:hAnsi="宋体" w:eastAsia="宋体" w:cs="宋体"/>
          <w:color w:val="auto"/>
          <w:sz w:val="24"/>
          <w:szCs w:val="24"/>
          <w:highlight w:val="none"/>
          <w:u w:val="single"/>
        </w:rPr>
        <w:t xml:space="preserve">在项目满足国家法律、法规及政策的前提下，通过专家评审。</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第八条  双方确定按以下约定承担各自违约责任:</w:t>
      </w:r>
      <w:r/>
    </w:p>
    <w:p>
      <w:pPr>
        <w:ind w:left="0"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乙方逾期提交服务成果或者未通过专家评审的，每逾期一日，乙方按合同总价款的万分之五支付违约金，逾期超过十日的，甲方有权视情况解除合同不予支付任何费用，给甲方造成损失的，乙方还须赔偿甲方全部损失。乙方服务成果经修改更正后仍未能通过专家评审的，须按合同总价款的30%向甲方支付违约金。</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u w:val="single"/>
        </w:rPr>
        <w:t xml:space="preserve">甲方未能在规定期限内支付合同约定的费用，每逾期一日，乙方应按合同总额的万分之五向甲方收取违约金，并且乙方有权终止合同中约定的各项工作，由此引发的一切后果由甲方承担。</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双方确定，甲方按照乙方符合本合同约定标准和方式完成的技术咨询工作成果作出决策并予以实施所造成的损失按以下第</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3</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种方式处理: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(1)乙方不承担责任。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(2)乙方、甲方均承担或一方承担部分责任。具体承担方式为:</w:t>
      </w:r>
      <w:r>
        <w:rPr>
          <w:rFonts w:hint="eastAsia" w:ascii="宋体" w:hAnsi="宋体" w:eastAsia="宋体" w:cs="宋体"/>
          <w:color w:val="auto"/>
          <w:sz w:val="24"/>
          <w:szCs w:val="24"/>
          <w:highlight w:val="none"/>
          <w:u w:val="single"/>
        </w:rPr>
        <w:t xml:space="preserve">由当地法院裁决。</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(3)乙方承担全部责任。</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双方确定: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1.在本合同有效期内，甲方利用乙方提交的技术咨询工作成果所完成的新的技术成果，归</w:t>
      </w:r>
      <w:r>
        <w:rPr>
          <w:rFonts w:hint="eastAsia" w:ascii="宋体" w:hAnsi="宋体" w:eastAsia="宋体" w:cs="宋体"/>
          <w:color w:val="auto"/>
          <w:sz w:val="24"/>
          <w:szCs w:val="24"/>
          <w:highlight w:val="none"/>
          <w:u w:val="single"/>
        </w:rPr>
        <w:t xml:space="preserve">甲</w:t>
      </w:r>
      <w:r>
        <w:rPr>
          <w:rFonts w:hint="eastAsia" w:ascii="宋体" w:hAnsi="宋体" w:eastAsia="宋体" w:cs="宋体"/>
          <w:color w:val="auto"/>
          <w:sz w:val="24"/>
          <w:szCs w:val="24"/>
          <w:highlight w:val="none"/>
        </w:rPr>
        <w:t xml:space="preserve">方所有。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2、在本合同有效期内，乙方利用甲方提供的技术资料和工作条件所完成的新的技术成果，归</w:t>
      </w:r>
      <w:r>
        <w:rPr>
          <w:rFonts w:hint="eastAsia" w:ascii="宋体" w:hAnsi="宋体" w:eastAsia="宋体" w:cs="宋体"/>
          <w:color w:val="auto"/>
          <w:sz w:val="24"/>
          <w:szCs w:val="24"/>
          <w:highlight w:val="none"/>
          <w:u w:val="single"/>
        </w:rPr>
        <w:t xml:space="preserve">甲</w:t>
      </w:r>
      <w:r>
        <w:rPr>
          <w:rFonts w:hint="eastAsia" w:ascii="宋体" w:hAnsi="宋体" w:eastAsia="宋体" w:cs="宋体"/>
          <w:color w:val="auto"/>
          <w:sz w:val="24"/>
          <w:szCs w:val="24"/>
          <w:highlight w:val="none"/>
        </w:rPr>
        <w:t xml:space="preserve">方所有。</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第十一条  双方确定，出现下列情形，致使本合同的履行成为不必要或不可能的，可以解除本合同:</w:t>
      </w:r>
      <w:r>
        <w:rPr>
          <w:rFonts w:hint="eastAsia" w:ascii="宋体" w:hAnsi="宋体" w:eastAsia="宋体" w:cs="宋体"/>
          <w:color w:val="auto"/>
          <w:sz w:val="24"/>
          <w:szCs w:val="24"/>
          <w:highlight w:val="none"/>
        </w:rPr>
        <w:t xml:space="preserve">发生不可抗力。</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第十二条  双方因履行本合同而发生的争议，应协商、调解解决。协商、调解不成的，确定按以下第</w:t>
      </w:r>
      <w:r>
        <w:rPr>
          <w:rFonts w:hint="eastAsia" w:ascii="宋体" w:hAnsi="宋体" w:eastAsia="宋体" w:cs="宋体"/>
          <w:b/>
          <w:color w:val="auto"/>
          <w:sz w:val="24"/>
          <w:szCs w:val="24"/>
          <w:highlight w:val="none"/>
          <w:u w:val="single"/>
        </w:rPr>
        <w:t xml:space="preserve">2</w:t>
      </w:r>
      <w:r>
        <w:rPr>
          <w:rFonts w:hint="eastAsia" w:ascii="宋体" w:hAnsi="宋体" w:eastAsia="宋体" w:cs="宋体"/>
          <w:b/>
          <w:color w:val="auto"/>
          <w:sz w:val="24"/>
          <w:szCs w:val="24"/>
          <w:highlight w:val="none"/>
        </w:rPr>
        <w:t xml:space="preserve">种方式处理: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1.提交</w:t>
      </w:r>
      <w:r>
        <w:rPr>
          <w:rFonts w:hint="eastAsia" w:ascii="宋体" w:hAnsi="宋体" w:eastAsia="宋体" w:cs="宋体"/>
          <w:color w:val="auto"/>
          <w:sz w:val="24"/>
          <w:szCs w:val="24"/>
          <w:highlight w:val="none"/>
          <w:lang w:val="en-US"/>
        </w:rPr>
        <w:t xml:space="preserve">南通</w:t>
      </w:r>
      <w:r>
        <w:rPr>
          <w:rFonts w:hint="eastAsia" w:ascii="宋体" w:hAnsi="宋体" w:eastAsia="宋体" w:cs="宋体"/>
          <w:color w:val="auto"/>
          <w:sz w:val="24"/>
          <w:szCs w:val="24"/>
          <w:highlight w:val="none"/>
        </w:rPr>
        <w:t xml:space="preserve">仲裁委员会仲裁</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2.依法向甲方住所地人民法院起诉。</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第十三条 甲乙双方共同确认本合同首部所载明的住所地，为甲乙双方有效的送达地址。今后凡与本合同项下有关的文书函件以及相关法律文书、诉讼文书送达地址均以此为准。甲乙双方承诺在住所地发生变更时，应及时通知对方，否则因住所地不准确，或住所地变更后未及时书面告知合同相对方，导致合同往来文书函件及法律文书被拒绝签收、无法送达等情形的，应自行承担有效送达的法律后果。</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第十四条 本合同经</w:t>
      </w:r>
      <w:r>
        <w:rPr>
          <w:rFonts w:hint="eastAsia" w:ascii="宋体" w:hAnsi="宋体" w:eastAsia="宋体" w:cs="宋体"/>
          <w:b/>
          <w:color w:val="auto"/>
          <w:sz w:val="24"/>
          <w:szCs w:val="24"/>
          <w:highlight w:val="none"/>
          <w:lang w:val="en-US"/>
        </w:rPr>
        <w:t xml:space="preserve">甲乙</w:t>
      </w:r>
      <w:r>
        <w:rPr>
          <w:rFonts w:hint="eastAsia" w:ascii="宋体" w:hAnsi="宋体" w:eastAsia="宋体" w:cs="宋体"/>
          <w:b/>
          <w:color w:val="auto"/>
          <w:sz w:val="24"/>
          <w:szCs w:val="24"/>
          <w:highlight w:val="none"/>
        </w:rPr>
        <w:t xml:space="preserve">双方</w:t>
      </w:r>
      <w:r>
        <w:rPr>
          <w:rFonts w:hint="eastAsia" w:ascii="宋体" w:hAnsi="宋体" w:eastAsia="宋体" w:cs="宋体"/>
          <w:b/>
          <w:color w:val="auto"/>
          <w:sz w:val="24"/>
          <w:szCs w:val="24"/>
          <w:highlight w:val="none"/>
          <w:lang w:val="en-US"/>
        </w:rPr>
        <w:t xml:space="preserve">法定代表人</w:t>
      </w:r>
      <w:r>
        <w:rPr>
          <w:rFonts w:hint="eastAsia" w:ascii="宋体" w:hAnsi="宋体" w:eastAsia="宋体" w:cs="宋体"/>
          <w:b/>
          <w:color w:val="auto"/>
          <w:sz w:val="24"/>
          <w:szCs w:val="24"/>
          <w:highlight w:val="none"/>
        </w:rPr>
        <w:t xml:space="preserve">签字</w:t>
      </w:r>
      <w:r>
        <w:rPr>
          <w:rFonts w:hint="eastAsia" w:ascii="宋体" w:hAnsi="宋体" w:eastAsia="宋体" w:cs="宋体"/>
          <w:b/>
          <w:color w:val="auto"/>
          <w:sz w:val="24"/>
          <w:szCs w:val="24"/>
          <w:highlight w:val="none"/>
          <w:lang w:val="en-US"/>
        </w:rPr>
        <w:t xml:space="preserve">加</w:t>
      </w:r>
      <w:r>
        <w:rPr>
          <w:rFonts w:hint="eastAsia" w:ascii="宋体" w:hAnsi="宋体" w:eastAsia="宋体" w:cs="宋体"/>
          <w:b/>
          <w:color w:val="auto"/>
          <w:sz w:val="24"/>
          <w:szCs w:val="24"/>
          <w:highlight w:val="none"/>
        </w:rPr>
        <w:t xml:space="preserve">盖</w:t>
      </w:r>
      <w:r>
        <w:rPr>
          <w:rFonts w:hint="eastAsia" w:ascii="宋体" w:hAnsi="宋体" w:eastAsia="宋体" w:cs="宋体"/>
          <w:b/>
          <w:color w:val="auto"/>
          <w:sz w:val="24"/>
          <w:szCs w:val="24"/>
          <w:highlight w:val="none"/>
          <w:lang w:val="en-US"/>
        </w:rPr>
        <w:t xml:space="preserve">双方公</w:t>
      </w:r>
      <w:r>
        <w:rPr>
          <w:rFonts w:hint="eastAsia" w:ascii="宋体" w:hAnsi="宋体" w:eastAsia="宋体" w:cs="宋体"/>
          <w:b/>
          <w:color w:val="auto"/>
          <w:sz w:val="24"/>
          <w:szCs w:val="24"/>
          <w:highlight w:val="none"/>
        </w:rPr>
        <w:t xml:space="preserve">章</w:t>
      </w:r>
      <w:r>
        <w:rPr>
          <w:rFonts w:hint="eastAsia" w:ascii="宋体" w:hAnsi="宋体" w:eastAsia="宋体" w:cs="宋体"/>
          <w:b/>
          <w:color w:val="auto"/>
          <w:sz w:val="24"/>
          <w:szCs w:val="24"/>
          <w:highlight w:val="none"/>
          <w:lang w:val="en-US"/>
        </w:rPr>
        <w:t xml:space="preserve">或合同专用章</w:t>
      </w:r>
      <w:r>
        <w:rPr>
          <w:rFonts w:hint="eastAsia" w:ascii="宋体" w:hAnsi="宋体" w:eastAsia="宋体" w:cs="宋体"/>
          <w:b/>
          <w:color w:val="auto"/>
          <w:sz w:val="24"/>
          <w:szCs w:val="24"/>
          <w:highlight w:val="none"/>
        </w:rPr>
        <w:t xml:space="preserve">后生效，合同有效期限为一年。本合同壹式</w:t>
      </w:r>
      <w:r>
        <w:rPr>
          <w:rFonts w:hint="eastAsia" w:ascii="宋体" w:hAnsi="宋体" w:eastAsia="宋体" w:cs="宋体"/>
          <w:b/>
          <w:color w:val="auto"/>
          <w:sz w:val="24"/>
          <w:szCs w:val="24"/>
          <w:highlight w:val="none"/>
          <w:u w:val="single"/>
        </w:rPr>
        <w:t xml:space="preserve"> 捌 </w:t>
      </w:r>
      <w:r>
        <w:rPr>
          <w:rFonts w:hint="eastAsia" w:ascii="宋体" w:hAnsi="宋体" w:eastAsia="宋体" w:cs="宋体"/>
          <w:b/>
          <w:color w:val="auto"/>
          <w:sz w:val="24"/>
          <w:szCs w:val="24"/>
          <w:highlight w:val="none"/>
        </w:rPr>
        <w:t xml:space="preserve">份，双方各执</w:t>
      </w:r>
      <w:r>
        <w:rPr>
          <w:rFonts w:hint="eastAsia" w:ascii="宋体" w:hAnsi="宋体" w:eastAsia="宋体" w:cs="宋体"/>
          <w:b/>
          <w:color w:val="auto"/>
          <w:sz w:val="24"/>
          <w:szCs w:val="24"/>
          <w:highlight w:val="none"/>
          <w:u w:val="single"/>
        </w:rPr>
        <w:t xml:space="preserve"> 肆 </w:t>
      </w:r>
      <w:r>
        <w:rPr>
          <w:rFonts w:hint="eastAsia" w:ascii="宋体" w:hAnsi="宋体" w:eastAsia="宋体" w:cs="宋体"/>
          <w:b/>
          <w:color w:val="auto"/>
          <w:sz w:val="24"/>
          <w:szCs w:val="24"/>
          <w:highlight w:val="none"/>
        </w:rPr>
        <w:t xml:space="preserve">份为凭，具有同等法律效力。</w:t>
      </w:r>
      <w:r/>
    </w:p>
    <w:p>
      <w:pPr>
        <w:spacing w:line="46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p>
    <w:p>
      <w:pPr>
        <w:spacing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如东县洋口镇人民政府</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（公章/合同专用章）</w:t>
      </w:r>
      <w:r/>
    </w:p>
    <w:p>
      <w:pPr>
        <w:spacing w:before="156" w:after="156"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val="en-US"/>
        </w:rPr>
        <w:t xml:space="preserve">授权</w:t>
      </w:r>
      <w:r>
        <w:rPr>
          <w:rFonts w:hint="eastAsia" w:ascii="宋体" w:hAnsi="宋体" w:eastAsia="宋体" w:cs="宋体"/>
          <w:color w:val="auto"/>
          <w:sz w:val="24"/>
          <w:szCs w:val="24"/>
          <w:highlight w:val="none"/>
        </w:rPr>
        <w:t xml:space="preserve">】代表人（签</w:t>
      </w:r>
      <w:r>
        <w:rPr>
          <w:rFonts w:hint="eastAsia" w:ascii="宋体" w:hAnsi="宋体" w:eastAsia="宋体" w:cs="宋体"/>
          <w:color w:val="auto"/>
          <w:sz w:val="24"/>
          <w:szCs w:val="24"/>
          <w:highlight w:val="none"/>
          <w:lang w:val="en-US"/>
        </w:rPr>
        <w:t xml:space="preserve">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jc w:val="right"/>
        <w:spacing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spacing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（公章/合同专用章）</w:t>
      </w:r>
      <w:r/>
    </w:p>
    <w:p>
      <w:pPr>
        <w:spacing w:before="156" w:after="156" w:line="46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w:t>
      </w:r>
      <w:r>
        <w:rPr>
          <w:rFonts w:hint="eastAsia" w:ascii="宋体" w:hAnsi="宋体" w:eastAsia="宋体" w:cs="宋体"/>
          <w:color w:val="auto"/>
          <w:sz w:val="24"/>
          <w:szCs w:val="24"/>
          <w:highlight w:val="none"/>
          <w:lang w:val="en-US"/>
        </w:rPr>
        <w:t xml:space="preserve">授权</w:t>
      </w:r>
      <w:r>
        <w:rPr>
          <w:rFonts w:hint="eastAsia" w:ascii="宋体" w:hAnsi="宋体" w:eastAsia="宋体" w:cs="宋体"/>
          <w:color w:val="auto"/>
          <w:sz w:val="24"/>
          <w:szCs w:val="24"/>
          <w:highlight w:val="none"/>
        </w:rPr>
        <w:t xml:space="preserve">】代表人（签</w:t>
      </w:r>
      <w:r>
        <w:rPr>
          <w:rFonts w:hint="eastAsia" w:ascii="宋体" w:hAnsi="宋体" w:eastAsia="宋体" w:cs="宋体"/>
          <w:color w:val="auto"/>
          <w:sz w:val="24"/>
          <w:szCs w:val="24"/>
          <w:highlight w:val="none"/>
          <w:lang w:val="en-US"/>
        </w:rPr>
        <w:t xml:space="preserve">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w:t>
      </w:r>
      <w:r/>
    </w:p>
    <w:p>
      <w:pPr>
        <w:jc w:val="right"/>
        <w:spacing w:line="460" w:lineRule="exact"/>
        <w:rPr>
          <w:rFonts w:hint="eastAsia" w:ascii="宋体" w:hAnsi="宋体" w:eastAsia="宋体" w:cs="宋体"/>
          <w:color w:val="auto"/>
          <w:highlight w:val="none"/>
          <w:lang w:val="en-US"/>
        </w:rPr>
      </w:pPr>
      <w:r>
        <w:rPr>
          <w:rFonts w:hint="eastAsia" w:ascii="宋体" w:hAnsi="宋体" w:eastAsia="宋体" w:cs="宋体"/>
          <w:color w:val="auto"/>
          <w:sz w:val="24"/>
          <w:szCs w:val="24"/>
          <w:highlight w:val="none"/>
        </w:rPr>
        <w:t xml:space="preserve">年      月      日</w:t>
      </w:r>
      <w:r/>
    </w:p>
    <w:p>
      <w:pPr>
        <w:spacing w:line="300" w:lineRule="exact"/>
        <w:rPr>
          <w:rFonts w:hint="eastAsia" w:ascii="宋体" w:hAnsi="宋体" w:eastAsia="宋体" w:cs="宋体"/>
          <w:b/>
          <w:sz w:val="44"/>
          <w:highlight w:val="none"/>
        </w:rPr>
      </w:pPr>
      <w:r>
        <w:rPr>
          <w:rFonts w:hint="eastAsia" w:ascii="宋体" w:hAnsi="宋体" w:eastAsia="宋体" w:cs="宋体"/>
          <w:b/>
          <w:sz w:val="44"/>
          <w:highlight w:val="none"/>
        </w:rPr>
      </w:r>
      <w:r/>
    </w:p>
    <w:p>
      <w:pPr>
        <w:pStyle w:val="667"/>
        <w:ind w:firstLine="2209"/>
        <w:jc w:val="left"/>
        <w:rPr>
          <w:rFonts w:hint="eastAsia" w:ascii="宋体" w:hAnsi="宋体" w:eastAsia="宋体" w:cs="宋体"/>
          <w:b/>
          <w:sz w:val="44"/>
          <w:highlight w:val="none"/>
        </w:rPr>
      </w:pPr>
      <w:r>
        <w:rPr>
          <w:rFonts w:hint="eastAsia" w:ascii="宋体" w:hAnsi="宋体" w:eastAsia="宋体" w:cs="宋体"/>
          <w:b/>
          <w:sz w:val="4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rPr>
          <w:rFonts w:hint="eastAsia"/>
          <w:highlight w:val="none"/>
        </w:rPr>
      </w:pPr>
      <w:r>
        <w:rPr>
          <w:rFonts w:hint="eastAsia"/>
          <w:highlight w:val="none"/>
        </w:rPr>
      </w:r>
      <w:r/>
    </w:p>
    <w:p>
      <w:pPr>
        <w:pStyle w:val="667"/>
        <w:ind w:firstLine="2209"/>
        <w:jc w:val="left"/>
        <w:rPr>
          <w:rFonts w:hint="eastAsia" w:ascii="宋体" w:hAnsi="宋体" w:eastAsia="宋体" w:cs="宋体"/>
          <w:b/>
          <w:sz w:val="44"/>
          <w:highlight w:val="none"/>
        </w:rPr>
      </w:pPr>
      <w:r>
        <w:rPr>
          <w:rFonts w:hint="eastAsia" w:ascii="宋体" w:hAnsi="宋体" w:eastAsia="宋体" w:cs="宋体"/>
          <w:b/>
          <w:sz w:val="44"/>
          <w:highlight w:val="none"/>
        </w:rPr>
      </w:r>
      <w:r/>
    </w:p>
    <w:p>
      <w:pPr>
        <w:pStyle w:val="667"/>
        <w:jc w:val="left"/>
        <w:rPr>
          <w:rFonts w:hint="eastAsia" w:ascii="宋体" w:hAnsi="宋体" w:eastAsia="宋体" w:cs="宋体"/>
          <w:b/>
          <w:sz w:val="44"/>
          <w:highlight w:val="none"/>
        </w:rPr>
      </w:pPr>
      <w:r>
        <w:rPr>
          <w:rFonts w:hint="eastAsia" w:ascii="宋体" w:hAnsi="宋体" w:eastAsia="宋体" w:cs="宋体"/>
          <w:b/>
          <w:sz w:val="44"/>
          <w:highlight w:val="none"/>
        </w:rPr>
      </w:r>
      <w:r/>
    </w:p>
    <w:p>
      <w:pPr>
        <w:pStyle w:val="667"/>
        <w:ind w:firstLine="2209"/>
        <w:jc w:val="left"/>
        <w:rPr>
          <w:rFonts w:hint="eastAsia" w:ascii="宋体" w:hAnsi="宋体" w:eastAsia="宋体" w:cs="宋体"/>
          <w:b/>
          <w:sz w:val="44"/>
          <w:highlight w:val="none"/>
        </w:rPr>
      </w:pPr>
      <w:r>
        <w:rPr>
          <w:rFonts w:hint="eastAsia" w:ascii="宋体" w:hAnsi="宋体" w:eastAsia="宋体" w:cs="宋体"/>
          <w:b/>
          <w:sz w:val="44"/>
          <w:highlight w:val="none"/>
        </w:rPr>
      </w:r>
      <w:r/>
    </w:p>
    <w:p>
      <w:pPr>
        <w:pStyle w:val="667"/>
        <w:ind w:firstLine="2209"/>
        <w:jc w:val="left"/>
        <w:rPr>
          <w:rFonts w:hint="eastAsia" w:ascii="宋体" w:hAnsi="宋体" w:eastAsia="宋体" w:cs="宋体"/>
          <w:b/>
          <w:sz w:val="44"/>
          <w:highlight w:val="none"/>
        </w:rPr>
      </w:pPr>
      <w:r>
        <w:rPr>
          <w:rFonts w:hint="eastAsia" w:ascii="宋体" w:hAnsi="宋体" w:eastAsia="宋体" w:cs="宋体"/>
          <w:b/>
          <w:sz w:val="44"/>
          <w:highlight w:val="none"/>
        </w:rPr>
        <w:t xml:space="preserve">第六章  投标</w:t>
      </w:r>
      <w:bookmarkEnd w:id="188"/>
      <w:r/>
      <w:bookmarkEnd w:id="189"/>
      <w:r/>
      <w:bookmarkEnd w:id="190"/>
      <w:r>
        <w:rPr>
          <w:rFonts w:hint="eastAsia" w:ascii="宋体" w:hAnsi="宋体" w:eastAsia="宋体" w:cs="宋体"/>
          <w:b/>
          <w:sz w:val="44"/>
          <w:highlight w:val="none"/>
        </w:rPr>
        <w:t xml:space="preserve">文件格式</w:t>
      </w:r>
      <w:bookmarkEnd w:id="192"/>
      <w:r/>
      <w:r/>
    </w:p>
    <w:p>
      <w:pPr>
        <w:jc w:val="center"/>
        <w:rPr>
          <w:rFonts w:hint="eastAsia" w:ascii="宋体" w:hAnsi="宋体" w:eastAsia="宋体" w:cs="宋体"/>
          <w:b/>
          <w:sz w:val="72"/>
          <w:highlight w:val="none"/>
        </w:rPr>
      </w:pPr>
      <w:r/>
      <w:bookmarkStart w:id="193" w:name="_Hlt26955039"/>
      <w:r/>
      <w:bookmarkEnd w:id="193"/>
      <w:r/>
      <w:bookmarkStart w:id="194" w:name="_Hlt26671244"/>
      <w:r/>
      <w:bookmarkEnd w:id="194"/>
      <w:r/>
      <w:bookmarkStart w:id="195" w:name="_Toc120614282"/>
      <w:r/>
      <w:bookmarkStart w:id="196" w:name="_Toc49090576"/>
      <w:r/>
      <w:bookmarkStart w:id="197" w:name="_Toc26554094"/>
      <w:r/>
      <w:r/>
    </w:p>
    <w:p>
      <w:pPr>
        <w:jc w:val="center"/>
        <w:rPr>
          <w:rFonts w:hint="eastAsia" w:ascii="宋体" w:hAnsi="宋体" w:eastAsia="宋体" w:cs="宋体"/>
          <w:b/>
          <w:sz w:val="72"/>
          <w:highlight w:val="none"/>
        </w:rPr>
        <w:outlineLvl w:val="0"/>
      </w:pPr>
      <w:r/>
      <w:bookmarkStart w:id="198" w:name="_Toc186493272"/>
      <w:r>
        <w:rPr>
          <w:rFonts w:hint="eastAsia" w:ascii="宋体" w:hAnsi="宋体" w:eastAsia="宋体" w:cs="宋体"/>
          <w:b/>
          <w:sz w:val="72"/>
          <w:highlight w:val="none"/>
        </w:rPr>
        <w:t xml:space="preserve">投  标  文  件</w:t>
      </w:r>
      <w:bookmarkEnd w:id="198"/>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pStyle w:val="682"/>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ind w:firstLine="1084"/>
        <w:rPr>
          <w:rFonts w:hint="eastAsia" w:ascii="宋体" w:hAnsi="宋体" w:eastAsia="宋体" w:cs="宋体"/>
          <w:b/>
          <w:sz w:val="36"/>
          <w:highlight w:val="none"/>
        </w:rPr>
        <w:outlineLvl w:val="0"/>
      </w:pPr>
      <w:r/>
      <w:bookmarkStart w:id="199" w:name="_Toc186493273"/>
      <w:r>
        <w:rPr>
          <w:rFonts w:hint="eastAsia" w:ascii="宋体" w:hAnsi="宋体" w:eastAsia="宋体" w:cs="宋体"/>
          <w:b/>
          <w:sz w:val="36"/>
          <w:highlight w:val="none"/>
        </w:rPr>
        <w:t xml:space="preserve">项 目 名 称：</w:t>
      </w:r>
      <w:bookmarkEnd w:id="199"/>
      <w:r/>
      <w:r/>
    </w:p>
    <w:p>
      <w:pPr>
        <w:ind w:firstLine="1084"/>
        <w:rPr>
          <w:rFonts w:hint="eastAsia" w:ascii="宋体" w:hAnsi="宋体" w:eastAsia="宋体" w:cs="宋体"/>
          <w:b/>
          <w:sz w:val="36"/>
          <w:highlight w:val="none"/>
          <w:u w:val="single"/>
        </w:rPr>
        <w:outlineLvl w:val="0"/>
      </w:pPr>
      <w:r/>
      <w:bookmarkStart w:id="200" w:name="_Toc186493274"/>
      <w:r>
        <w:rPr>
          <w:rFonts w:hint="eastAsia" w:ascii="宋体" w:hAnsi="宋体" w:eastAsia="宋体" w:cs="宋体"/>
          <w:b/>
          <w:sz w:val="36"/>
          <w:highlight w:val="none"/>
        </w:rPr>
        <w:t xml:space="preserve">项 目 编 号：</w:t>
      </w:r>
      <w:bookmarkEnd w:id="200"/>
      <w:r/>
      <w:r/>
    </w:p>
    <w:p>
      <w:pPr>
        <w:rPr>
          <w:rFonts w:hint="eastAsia" w:ascii="宋体" w:hAnsi="宋体" w:eastAsia="宋体" w:cs="宋体"/>
          <w:b/>
          <w:sz w:val="36"/>
          <w:highlight w:val="none"/>
          <w:u w:val="single"/>
        </w:rPr>
        <w:outlineLvl w:val="0"/>
      </w:pPr>
      <w:r>
        <w:rPr>
          <w:rFonts w:hint="eastAsia" w:ascii="宋体" w:hAnsi="宋体" w:eastAsia="宋体" w:cs="宋体"/>
          <w:b/>
          <w:sz w:val="36"/>
          <w:highlight w:val="none"/>
        </w:rPr>
        <w:t xml:space="preserve">      </w:t>
      </w:r>
      <w:bookmarkStart w:id="201" w:name="_Toc186493275"/>
      <w:r>
        <w:rPr>
          <w:rFonts w:hint="eastAsia" w:ascii="宋体" w:hAnsi="宋体" w:eastAsia="宋体" w:cs="宋体"/>
          <w:b/>
          <w:sz w:val="36"/>
          <w:highlight w:val="none"/>
        </w:rPr>
        <w:t xml:space="preserve">投标人名称 ：</w:t>
      </w:r>
      <w:r>
        <w:rPr>
          <w:rFonts w:hint="eastAsia" w:ascii="宋体" w:hAnsi="宋体" w:eastAsia="宋体" w:cs="宋体"/>
          <w:b/>
          <w:sz w:val="36"/>
          <w:highlight w:val="none"/>
          <w:u w:val="single"/>
        </w:rPr>
        <w:t xml:space="preserve">（加盖CA电子公章）</w:t>
      </w:r>
      <w:bookmarkEnd w:id="201"/>
      <w:r/>
      <w:r/>
    </w:p>
    <w:p>
      <w:pPr>
        <w:rPr>
          <w:rFonts w:hint="eastAsia" w:ascii="宋体" w:hAnsi="宋体" w:eastAsia="宋体" w:cs="宋体"/>
          <w:b/>
          <w:sz w:val="36"/>
          <w:highlight w:val="none"/>
          <w:u w:val="single"/>
        </w:rPr>
        <w:outlineLvl w:val="0"/>
      </w:pPr>
      <w:r>
        <w:rPr>
          <w:rFonts w:hint="eastAsia" w:ascii="宋体" w:hAnsi="宋体" w:eastAsia="宋体" w:cs="宋体"/>
          <w:b/>
          <w:sz w:val="36"/>
          <w:highlight w:val="none"/>
        </w:rPr>
        <w:t xml:space="preserve">      </w:t>
      </w:r>
      <w:bookmarkStart w:id="202" w:name="_Toc186493276"/>
      <w:r>
        <w:rPr>
          <w:rFonts w:hint="eastAsia" w:ascii="宋体" w:hAnsi="宋体" w:eastAsia="宋体" w:cs="宋体"/>
          <w:b/>
          <w:sz w:val="36"/>
          <w:highlight w:val="none"/>
        </w:rPr>
        <w:t xml:space="preserve">日      期 ：</w:t>
      </w:r>
      <w:bookmarkEnd w:id="202"/>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44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spacing w:line="440" w:lineRule="exact"/>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pStyle w:val="751"/>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51"/>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51"/>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outlineLvl w:val="0"/>
      </w:pPr>
      <w:r/>
      <w:bookmarkStart w:id="203" w:name="_Toc186493277"/>
      <w:r>
        <w:rPr>
          <w:rFonts w:hint="eastAsia" w:ascii="宋体" w:hAnsi="宋体" w:eastAsia="宋体" w:cs="宋体"/>
          <w:b/>
          <w:bCs/>
          <w:sz w:val="32"/>
          <w:szCs w:val="32"/>
          <w:highlight w:val="none"/>
        </w:rPr>
        <w:t xml:space="preserve">投标文件的组成</w:t>
      </w:r>
      <w:bookmarkEnd w:id="203"/>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line="360" w:lineRule="auto"/>
        <w:rPr>
          <w:rFonts w:hint="eastAsia" w:ascii="宋体" w:hAnsi="宋体" w:eastAsia="宋体" w:cs="宋体"/>
          <w:b/>
          <w:sz w:val="24"/>
          <w:highlight w:val="none"/>
        </w:rPr>
        <w:outlineLvl w:val="0"/>
      </w:pPr>
      <w:r/>
      <w:bookmarkStart w:id="204" w:name="_Toc186493278"/>
      <w:r>
        <w:rPr>
          <w:rFonts w:hint="eastAsia" w:ascii="宋体" w:hAnsi="宋体" w:eastAsia="宋体" w:cs="宋体"/>
          <w:b/>
          <w:sz w:val="24"/>
          <w:highlight w:val="none"/>
        </w:rPr>
        <w:t xml:space="preserve">一、基本目录</w:t>
      </w:r>
      <w:bookmarkEnd w:id="204"/>
      <w:r/>
      <w:r/>
    </w:p>
    <w:p>
      <w:pPr>
        <w:ind w:left="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1.开标一览表（格式见附件1）</w:t>
      </w:r>
      <w:r/>
    </w:p>
    <w:p>
      <w:pPr>
        <w:ind w:left="480"/>
        <w:spacing w:line="360" w:lineRule="auto"/>
        <w:rPr>
          <w:rFonts w:hint="eastAsia" w:ascii="宋体" w:hAnsi="宋体" w:eastAsia="宋体" w:cs="宋体"/>
          <w:b/>
          <w:sz w:val="24"/>
          <w:highlight w:val="none"/>
        </w:rPr>
        <w:outlineLvl w:val="0"/>
      </w:pPr>
      <w:r/>
      <w:bookmarkStart w:id="205" w:name="_Toc186493279"/>
      <w:r>
        <w:rPr>
          <w:rFonts w:hint="eastAsia" w:ascii="宋体" w:hAnsi="宋体" w:eastAsia="宋体" w:cs="宋体"/>
          <w:b/>
          <w:sz w:val="24"/>
          <w:highlight w:val="none"/>
        </w:rPr>
        <w:t xml:space="preserve">二、资格审查内容</w:t>
      </w:r>
      <w:bookmarkEnd w:id="205"/>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1.投标人符合《政府采购法》第二十二条规定条件的声明函（</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2）</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2.法定代表人身份证明、</w:t>
      </w:r>
      <w:r>
        <w:rPr>
          <w:rFonts w:hint="eastAsia" w:ascii="宋体" w:hAnsi="宋体" w:eastAsia="宋体" w:cs="宋体"/>
          <w:sz w:val="24"/>
          <w:highlight w:val="none"/>
          <w:lang w:val="zh-CN"/>
        </w:rPr>
        <w:t xml:space="preserve">法定代表人的身份证</w:t>
      </w:r>
      <w:r>
        <w:rPr>
          <w:rFonts w:hint="eastAsia" w:ascii="宋体" w:hAnsi="宋体" w:eastAsia="宋体" w:cs="宋体"/>
          <w:sz w:val="24"/>
          <w:highlight w:val="none"/>
        </w:rPr>
        <w:t xml:space="preserve">扫描件（</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3）</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3.法人授权书、被授权</w:t>
      </w:r>
      <w:r>
        <w:rPr>
          <w:rFonts w:hint="eastAsia" w:ascii="宋体" w:hAnsi="宋体" w:eastAsia="宋体" w:cs="宋体"/>
          <w:sz w:val="24"/>
          <w:highlight w:val="none"/>
          <w:lang w:val="zh-CN"/>
        </w:rPr>
        <w:t xml:space="preserve">人身份证</w:t>
      </w:r>
      <w:r>
        <w:rPr>
          <w:rFonts w:hint="eastAsia" w:ascii="宋体" w:hAnsi="宋体" w:eastAsia="宋体" w:cs="宋体"/>
          <w:sz w:val="24"/>
          <w:highlight w:val="none"/>
        </w:rPr>
        <w:t xml:space="preserve">扫描件（如有授权）（</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4）</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4.投标函（</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5）</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cs="宋体"/>
          <w:color w:val="auto"/>
          <w:sz w:val="24"/>
          <w:szCs w:val="24"/>
          <w:highlight w:val="none"/>
          <w:lang w:val="en-US" w:eastAsia="zh-CN"/>
        </w:rPr>
        <w:t xml:space="preserve">联合体协议书（如有，格式自拟）</w:t>
      </w:r>
      <w:r/>
    </w:p>
    <w:p>
      <w:pPr>
        <w:ind w:left="480"/>
        <w:spacing w:line="360" w:lineRule="auto"/>
        <w:rPr>
          <w:rFonts w:hint="eastAsia" w:ascii="宋体" w:hAnsi="宋体" w:eastAsia="宋体" w:cs="宋体"/>
          <w:b w:val="0"/>
          <w:bCs/>
          <w:sz w:val="24"/>
          <w:highlight w:val="none"/>
        </w:rPr>
        <w:outlineLvl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bookmarkStart w:id="206" w:name="_Toc186493280"/>
      <w:r>
        <w:rPr>
          <w:rFonts w:hint="eastAsia" w:ascii="宋体" w:hAnsi="宋体" w:eastAsia="宋体" w:cs="宋体"/>
          <w:b w:val="0"/>
          <w:bCs/>
          <w:sz w:val="24"/>
          <w:highlight w:val="none"/>
        </w:rPr>
        <w:t xml:space="preserve">中小企业声明函（如果本项目专门面向中小微型企业采购，则必须提供。格式见附件</w:t>
      </w:r>
      <w:r>
        <w:rPr>
          <w:rFonts w:hint="eastAsia" w:ascii="宋体" w:hAnsi="宋体" w:eastAsia="宋体" w:cs="宋体"/>
          <w:b w:val="0"/>
          <w:bCs/>
          <w:sz w:val="24"/>
          <w:highlight w:val="none"/>
          <w:lang w:val="en-US" w:eastAsia="zh-CN"/>
        </w:rPr>
        <w:t xml:space="preserve">9</w:t>
      </w:r>
      <w:r>
        <w:rPr>
          <w:rFonts w:hint="eastAsia" w:ascii="宋体" w:hAnsi="宋体" w:eastAsia="宋体" w:cs="宋体"/>
          <w:b w:val="0"/>
          <w:bCs/>
          <w:sz w:val="24"/>
          <w:highlight w:val="none"/>
        </w:rPr>
        <w:t xml:space="preserve">）</w:t>
      </w:r>
      <w:r/>
    </w:p>
    <w:p>
      <w:pPr>
        <w:ind w:left="480"/>
        <w:spacing w:line="360" w:lineRule="auto"/>
        <w:rPr>
          <w:rFonts w:hint="eastAsia" w:ascii="宋体" w:hAnsi="宋体" w:eastAsia="宋体" w:cs="宋体"/>
          <w:b w:val="0"/>
          <w:bCs/>
          <w:sz w:val="24"/>
          <w:highlight w:val="none"/>
        </w:rPr>
        <w:outlineLvl w:val="0"/>
      </w:pPr>
      <w:r>
        <w:rPr>
          <w:rFonts w:hint="eastAsia" w:ascii="宋体" w:hAnsi="宋体" w:eastAsia="宋体" w:cs="宋体"/>
          <w:b w:val="0"/>
          <w:bCs/>
          <w:sz w:val="24"/>
          <w:highlight w:val="none"/>
          <w:lang w:val="en-US" w:eastAsia="zh-CN"/>
        </w:rPr>
        <w:t xml:space="preserve">7</w:t>
      </w:r>
      <w:r>
        <w:rPr>
          <w:rFonts w:hint="eastAsia" w:ascii="宋体" w:hAnsi="宋体" w:eastAsia="宋体" w:cs="宋体"/>
          <w:b w:val="0"/>
          <w:bCs/>
          <w:sz w:val="24"/>
          <w:highlight w:val="none"/>
        </w:rPr>
        <w:t xml:space="preserve">.残疾人福利性单位声明函（如果本项目专门面向中小微型企业采购，投标人为残疾人福利性单位并由本单位提供服务，则必须提供。格式见附件</w:t>
      </w:r>
      <w:r>
        <w:rPr>
          <w:rFonts w:hint="eastAsia" w:ascii="宋体" w:hAnsi="宋体" w:eastAsia="宋体" w:cs="宋体"/>
          <w:b w:val="0"/>
          <w:bCs/>
          <w:sz w:val="24"/>
          <w:highlight w:val="none"/>
          <w:lang w:val="en-US" w:eastAsia="zh-CN"/>
        </w:rPr>
        <w:t xml:space="preserve">10</w:t>
      </w:r>
      <w:r>
        <w:rPr>
          <w:rFonts w:hint="eastAsia" w:ascii="宋体" w:hAnsi="宋体" w:eastAsia="宋体" w:cs="宋体"/>
          <w:b w:val="0"/>
          <w:bCs/>
          <w:sz w:val="24"/>
          <w:highlight w:val="none"/>
        </w:rPr>
        <w:t xml:space="preserve">）</w:t>
      </w:r>
      <w:r/>
    </w:p>
    <w:p>
      <w:pPr>
        <w:ind w:left="480"/>
        <w:spacing w:line="360" w:lineRule="auto"/>
        <w:rPr>
          <w:rFonts w:hint="eastAsia" w:ascii="宋体" w:hAnsi="宋体" w:eastAsia="宋体" w:cs="宋体"/>
          <w:b w:val="0"/>
          <w:bCs/>
          <w:sz w:val="24"/>
          <w:highlight w:val="none"/>
        </w:rPr>
        <w:outlineLvl w:val="0"/>
      </w:pPr>
      <w:r>
        <w:rPr>
          <w:rFonts w:hint="eastAsia" w:ascii="宋体" w:hAnsi="宋体" w:eastAsia="宋体" w:cs="宋体"/>
          <w:b w:val="0"/>
          <w:bCs/>
          <w:sz w:val="24"/>
          <w:highlight w:val="none"/>
          <w:lang w:val="en-US" w:eastAsia="zh-CN"/>
        </w:rPr>
        <w:t xml:space="preserve">8</w:t>
      </w:r>
      <w:r>
        <w:rPr>
          <w:rFonts w:hint="eastAsia" w:ascii="宋体" w:hAnsi="宋体" w:eastAsia="宋体" w:cs="宋体"/>
          <w:b w:val="0"/>
          <w:bCs/>
          <w:sz w:val="24"/>
          <w:highlight w:val="none"/>
        </w:rPr>
        <w:t xml:space="preserve">.监狱和戒毒企业证明材料（如果本项目专门面向中小微型企业采购，投标人为监狱和戒毒企业的，则必须提供。格式见附件</w:t>
      </w:r>
      <w:r>
        <w:rPr>
          <w:rFonts w:hint="eastAsia" w:ascii="宋体" w:hAnsi="宋体" w:eastAsia="宋体" w:cs="宋体"/>
          <w:b w:val="0"/>
          <w:bCs/>
          <w:sz w:val="24"/>
          <w:highlight w:val="none"/>
          <w:lang w:val="en-US" w:eastAsia="zh-CN"/>
        </w:rPr>
        <w:t xml:space="preserve">11</w:t>
      </w:r>
      <w:r>
        <w:rPr>
          <w:rFonts w:hint="eastAsia" w:ascii="宋体" w:hAnsi="宋体" w:eastAsia="宋体" w:cs="宋体"/>
          <w:b w:val="0"/>
          <w:bCs/>
          <w:sz w:val="24"/>
          <w:highlight w:val="none"/>
        </w:rPr>
        <w:t xml:space="preserve">）</w:t>
      </w:r>
      <w:r/>
    </w:p>
    <w:p>
      <w:pPr>
        <w:ind w:left="480"/>
        <w:spacing w:line="360" w:lineRule="auto"/>
        <w:rPr>
          <w:rFonts w:hint="eastAsia" w:ascii="宋体" w:hAnsi="宋体" w:eastAsia="宋体" w:cs="宋体"/>
          <w:b w:val="0"/>
          <w:bCs/>
          <w:sz w:val="24"/>
          <w:highlight w:val="none"/>
        </w:rPr>
        <w:outlineLvl w:val="0"/>
      </w:pPr>
      <w:r>
        <w:rPr>
          <w:rFonts w:hint="eastAsia" w:ascii="宋体" w:hAnsi="宋体" w:eastAsia="宋体" w:cs="宋体"/>
          <w:b w:val="0"/>
          <w:bCs/>
          <w:sz w:val="24"/>
          <w:highlight w:val="none"/>
          <w:lang w:val="en-US" w:eastAsia="zh-CN"/>
        </w:rPr>
        <w:t xml:space="preserve">9</w:t>
      </w:r>
      <w:r>
        <w:rPr>
          <w:rFonts w:hint="eastAsia" w:ascii="宋体" w:hAnsi="宋体" w:eastAsia="宋体" w:cs="宋体"/>
          <w:b w:val="0"/>
          <w:bCs/>
          <w:sz w:val="24"/>
          <w:highlight w:val="none"/>
        </w:rPr>
        <w:t xml:space="preserve">.其它需要提交的资格审查证明材料。</w:t>
      </w:r>
      <w:r/>
    </w:p>
    <w:p>
      <w:pPr>
        <w:pStyle w:val="682"/>
        <w:ind w:firstLine="480"/>
        <w:jc w:val="left"/>
        <w:keepLines w:val="0"/>
        <w:keepNext w:val="0"/>
        <w:pageBreakBefore w:val="0"/>
        <w:spacing w:after="0" w:line="360" w:lineRule="auto"/>
        <w:widowControl w:val="off"/>
        <w:rPr>
          <w:rFonts w:hint="eastAsia" w:ascii="宋体" w:hAnsi="宋体" w:eastAsia="宋体" w:cs="宋体"/>
          <w:b w:val="0"/>
          <w:bCs/>
          <w:sz w:val="24"/>
          <w:szCs w:val="21"/>
          <w:highlight w:val="none"/>
          <w:lang w:val="en-US" w:eastAsia="zh-CN" w:bidi="ar-SA"/>
        </w:rPr>
      </w:pPr>
      <w:r>
        <w:rPr>
          <w:rFonts w:hint="eastAsia" w:ascii="宋体" w:hAnsi="宋体" w:eastAsia="宋体" w:cs="宋体"/>
          <w:b w:val="0"/>
          <w:bCs/>
          <w:sz w:val="24"/>
          <w:szCs w:val="21"/>
          <w:highlight w:val="none"/>
          <w:lang w:val="en-US" w:eastAsia="zh-CN" w:bidi="ar-SA"/>
        </w:rPr>
        <w:t xml:space="preserve">（1）</w:t>
      </w:r>
      <w:r>
        <w:rPr>
          <w:rFonts w:hint="eastAsia" w:ascii="宋体" w:hAnsi="宋体" w:eastAsia="宋体" w:cs="宋体"/>
          <w:b w:val="0"/>
          <w:bCs/>
          <w:sz w:val="24"/>
          <w:szCs w:val="21"/>
          <w:highlight w:val="none"/>
          <w:lang w:val="zh-CN" w:eastAsia="zh-CN" w:bidi="ar-SA"/>
        </w:rPr>
        <w:t xml:space="preserve">营业执照</w:t>
      </w:r>
      <w:r>
        <w:rPr>
          <w:rFonts w:hint="eastAsia" w:ascii="宋体" w:hAnsi="宋体" w:eastAsia="宋体" w:cs="宋体"/>
          <w:b w:val="0"/>
          <w:bCs/>
          <w:sz w:val="24"/>
          <w:szCs w:val="21"/>
          <w:highlight w:val="none"/>
          <w:lang w:val="en-US" w:eastAsia="zh-CN" w:bidi="ar-SA"/>
        </w:rPr>
        <w:t xml:space="preserve">或事业单位法人证书（如联合体投标的，联合体成员单位均需提供）；</w:t>
      </w:r>
      <w:r/>
    </w:p>
    <w:p>
      <w:pPr>
        <w:pStyle w:val="682"/>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（2）国家认证认可监督管理委员会颁发的CMA资质认定证书；</w:t>
      </w:r>
      <w:r/>
    </w:p>
    <w:p>
      <w:pPr>
        <w:pStyle w:val="682"/>
        <w:ind w:firstLine="480"/>
        <w:jc w:val="left"/>
        <w:keepLines w:val="0"/>
        <w:keepNext w:val="0"/>
        <w:pageBreakBefore w:val="0"/>
        <w:spacing w:after="0" w:line="360" w:lineRule="auto"/>
        <w:widowControl w:val="off"/>
        <w:rPr>
          <w:rFonts w:hint="eastAsia" w:ascii="宋体" w:hAnsi="宋体" w:eastAsia="宋体" w:cs="宋体"/>
          <w:b w:val="0"/>
          <w:bCs/>
          <w:sz w:val="24"/>
          <w:highlight w:val="none"/>
        </w:rPr>
      </w:pPr>
      <w:r>
        <w:rPr>
          <w:rFonts w:hint="eastAsia" w:ascii="宋体" w:hAnsi="宋体" w:eastAsia="宋体" w:cs="宋体"/>
          <w:color w:val="auto"/>
          <w:sz w:val="24"/>
          <w:szCs w:val="24"/>
          <w:highlight w:val="none"/>
          <w:lang w:val="en-US" w:eastAsia="zh-CN" w:bidi="ar-SA"/>
        </w:rPr>
        <w:t xml:space="preserve">（3）负责人环境类或海洋类（含水产工程）专业正高职称证书。</w:t>
      </w:r>
      <w:r/>
    </w:p>
    <w:p>
      <w:pPr>
        <w:ind w:left="480"/>
        <w:spacing w:line="360" w:lineRule="auto"/>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三、符合性审查内容</w:t>
      </w:r>
      <w:bookmarkEnd w:id="206"/>
      <w:r/>
      <w:r/>
    </w:p>
    <w:p>
      <w:pPr>
        <w:ind w:left="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1.技术要求响应及偏离表（</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6）</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2.商务要求响应及偏离表（</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7）</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3.实质性要求响应及偏离表（</w:t>
      </w:r>
      <w:r>
        <w:rPr>
          <w:rFonts w:hint="eastAsia" w:ascii="宋体" w:hAnsi="宋体" w:eastAsia="宋体" w:cs="宋体"/>
          <w:sz w:val="24"/>
          <w:highlight w:val="none"/>
          <w:lang w:val="zh-CN"/>
        </w:rPr>
        <w:t xml:space="preserve">格式见附件</w:t>
      </w:r>
      <w:r>
        <w:rPr>
          <w:rFonts w:hint="eastAsia" w:ascii="宋体" w:hAnsi="宋体" w:eastAsia="宋体" w:cs="宋体"/>
          <w:sz w:val="24"/>
          <w:highlight w:val="none"/>
        </w:rPr>
        <w:t xml:space="preserve">8）</w:t>
      </w:r>
      <w:r/>
    </w:p>
    <w:p>
      <w:pPr>
        <w:ind w:firstLine="480"/>
        <w:spacing w:line="360" w:lineRule="auto"/>
        <w:rPr>
          <w:rFonts w:hint="eastAsia" w:ascii="宋体" w:hAnsi="宋体" w:eastAsia="宋体" w:cs="宋体"/>
          <w:b/>
          <w:sz w:val="24"/>
          <w:szCs w:val="24"/>
          <w:highlight w:val="none"/>
        </w:rPr>
        <w:outlineLvl w:val="0"/>
      </w:pPr>
      <w:r/>
      <w:bookmarkStart w:id="207" w:name="_Toc186493281"/>
      <w:r>
        <w:rPr>
          <w:rFonts w:hint="eastAsia" w:ascii="宋体" w:hAnsi="宋体" w:eastAsia="宋体" w:cs="宋体"/>
          <w:b/>
          <w:sz w:val="24"/>
          <w:szCs w:val="24"/>
          <w:highlight w:val="none"/>
        </w:rPr>
        <w:t xml:space="preserve">四、</w:t>
      </w:r>
      <w:r>
        <w:rPr>
          <w:rFonts w:hint="eastAsia" w:ascii="宋体" w:hAnsi="宋体" w:eastAsia="宋体" w:cs="宋体"/>
          <w:b/>
          <w:sz w:val="24"/>
          <w:szCs w:val="24"/>
          <w:highlight w:val="none"/>
          <w:lang w:val="zh-CN"/>
        </w:rPr>
        <w:t xml:space="preserve">商务技术</w:t>
      </w:r>
      <w:r>
        <w:rPr>
          <w:rFonts w:hint="eastAsia" w:ascii="宋体" w:hAnsi="宋体" w:eastAsia="宋体" w:cs="宋体"/>
          <w:b/>
          <w:sz w:val="24"/>
          <w:szCs w:val="24"/>
          <w:highlight w:val="none"/>
        </w:rPr>
        <w:t xml:space="preserve">内容</w:t>
      </w:r>
      <w:bookmarkEnd w:id="20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商务技术评分标准中须提供的相关得分佐证材料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zh-CN"/>
        </w:rPr>
        <w:t xml:space="preserve">投标人认为需要提交的其他材料。</w:t>
      </w:r>
      <w:r/>
    </w:p>
    <w:p>
      <w:pPr>
        <w:ind w:firstLine="480"/>
        <w:spacing w:line="360" w:lineRule="auto"/>
        <w:rPr>
          <w:rFonts w:hint="eastAsia" w:ascii="宋体" w:hAnsi="宋体" w:eastAsia="宋体" w:cs="宋体"/>
          <w:b/>
          <w:sz w:val="24"/>
          <w:szCs w:val="24"/>
          <w:highlight w:val="none"/>
        </w:rPr>
        <w:outlineLvl w:val="0"/>
      </w:pPr>
      <w:r/>
      <w:bookmarkStart w:id="208" w:name="_Toc186493282"/>
      <w:r>
        <w:rPr>
          <w:rFonts w:hint="eastAsia" w:ascii="宋体" w:hAnsi="宋体" w:eastAsia="宋体" w:cs="宋体"/>
          <w:b/>
          <w:sz w:val="24"/>
          <w:szCs w:val="24"/>
          <w:highlight w:val="none"/>
        </w:rPr>
        <w:t xml:space="preserve">五、价格扣除证明文件</w:t>
      </w:r>
      <w:bookmarkEnd w:id="208"/>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1.中小企业声明函（格式见附件</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zh-CN"/>
        </w:rPr>
        <w:t xml:space="preserve">）</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2.残疾人福利性单位声明函（格式见附件</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zh-CN"/>
        </w:rPr>
        <w:t xml:space="preserve">）</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3.监狱和戒毒企业证明材料（格式见附件</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w:t>
      </w:r>
      <w:r/>
    </w:p>
    <w:p>
      <w:pPr>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r>
      <w:r/>
    </w:p>
    <w:p>
      <w:pPr>
        <w:rPr>
          <w:rFonts w:hint="eastAsia" w:ascii="宋体" w:hAnsi="宋体" w:eastAsia="宋体" w:cs="宋体"/>
          <w:b/>
          <w:sz w:val="24"/>
          <w:szCs w:val="24"/>
          <w:highlight w:val="none"/>
        </w:rPr>
        <w:outlineLvl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lang w:bidi="ar"/>
        </w:rPr>
        <w:t xml:space="preserve">如为联合体投标，联合体各方必须指定</w:t>
      </w:r>
      <w:r>
        <w:rPr>
          <w:rFonts w:hint="eastAsia" w:ascii="宋体" w:hAnsi="宋体" w:eastAsia="宋体" w:cs="宋体"/>
          <w:b/>
          <w:bCs/>
          <w:color w:val="auto"/>
          <w:sz w:val="24"/>
          <w:szCs w:val="24"/>
          <w:highlight w:val="none"/>
          <w:lang w:val="en-US" w:eastAsia="zh-CN" w:bidi="ar"/>
        </w:rPr>
        <w:t xml:space="preserve">牵头</w:t>
      </w:r>
      <w:r>
        <w:rPr>
          <w:rFonts w:hint="eastAsia" w:ascii="宋体" w:hAnsi="宋体" w:eastAsia="宋体" w:cs="宋体"/>
          <w:b/>
          <w:bCs/>
          <w:color w:val="auto"/>
          <w:sz w:val="24"/>
          <w:szCs w:val="24"/>
          <w:highlight w:val="none"/>
          <w:lang w:bidi="ar"/>
        </w:rPr>
        <w:t xml:space="preserve">单位，授权其代表所有联合体成员负责投标和合同实施阶段的主办、协调工作，由联合体</w:t>
      </w:r>
      <w:r>
        <w:rPr>
          <w:rFonts w:hint="eastAsia" w:ascii="宋体" w:hAnsi="宋体" w:eastAsia="宋体" w:cs="宋体"/>
          <w:b/>
          <w:bCs/>
          <w:color w:val="auto"/>
          <w:sz w:val="24"/>
          <w:szCs w:val="24"/>
          <w:highlight w:val="none"/>
          <w:lang w:val="en-US" w:eastAsia="zh-CN" w:bidi="ar"/>
        </w:rPr>
        <w:t xml:space="preserve">牵头</w:t>
      </w:r>
      <w:r>
        <w:rPr>
          <w:rFonts w:hint="eastAsia" w:ascii="宋体" w:hAnsi="宋体" w:eastAsia="宋体" w:cs="宋体"/>
          <w:b/>
          <w:bCs/>
          <w:color w:val="auto"/>
          <w:sz w:val="24"/>
          <w:szCs w:val="24"/>
          <w:highlight w:val="none"/>
          <w:lang w:bidi="ar"/>
        </w:rPr>
        <w:t xml:space="preserve">单位负责除联合体协议书外所有投标文件盖章事宜。</w:t>
      </w:r>
      <w:r>
        <w:rPr>
          <w:rFonts w:hint="eastAsia" w:ascii="宋体" w:hAnsi="宋体" w:eastAsia="宋体" w:cs="宋体"/>
          <w:sz w:val="24"/>
          <w:szCs w:val="24"/>
          <w:highlight w:val="none"/>
          <w:lang w:val="zh-CN"/>
        </w:rPr>
        <w:br w:type="page" w:clear="all"/>
      </w:r>
      <w:bookmarkStart w:id="209" w:name="_Toc186493283"/>
      <w:r>
        <w:rPr>
          <w:rFonts w:hint="eastAsia" w:ascii="宋体" w:hAnsi="宋体" w:eastAsia="宋体" w:cs="宋体"/>
          <w:b/>
          <w:sz w:val="24"/>
          <w:szCs w:val="24"/>
          <w:highlight w:val="none"/>
        </w:rPr>
        <w:t xml:space="preserve">附件1</w:t>
      </w:r>
      <w:bookmarkEnd w:id="209"/>
      <w:r>
        <w:rPr>
          <w:rFonts w:hint="eastAsia" w:ascii="宋体" w:hAnsi="宋体" w:eastAsia="宋体" w:cs="宋体"/>
          <w:b/>
          <w:sz w:val="24"/>
          <w:szCs w:val="24"/>
          <w:highlight w:val="none"/>
        </w:rPr>
        <w:t xml:space="preserve"> </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开标一览表</w:t>
      </w:r>
      <w:r/>
    </w:p>
    <w:p>
      <w:pPr>
        <w:pStyle w:val="682"/>
        <w:rPr>
          <w:rFonts w:hint="eastAsia" w:ascii="宋体" w:hAnsi="宋体" w:eastAsia="宋体" w:cs="宋体"/>
          <w:highlight w:val="none"/>
        </w:rPr>
      </w:pPr>
      <w:r>
        <w:rPr>
          <w:rFonts w:hint="eastAsia" w:ascii="宋体" w:hAnsi="宋体" w:eastAsia="宋体" w:cs="宋体"/>
          <w:highlight w:val="none"/>
        </w:rPr>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677"/>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4"/>
      </w:tblGrid>
      <w:tr>
        <w:trPr>
          <w:cantSplit/>
          <w:trHeight w:val="725"/>
        </w:trPr>
        <w:tc>
          <w:tcPr>
            <w:tcW w:w="9064"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r>
      <w:tr>
        <w:trPr>
          <w:cantSplit/>
          <w:trHeight w:val="612"/>
        </w:trPr>
        <w:tc>
          <w:tcPr>
            <w:tcW w:w="9064" w:type="dxa"/>
            <w:vAlign w:val="center"/>
            <w:textDirection w:val="lrTb"/>
            <w:noWrap w:val="false"/>
          </w:tcPr>
          <w:p>
            <w:pPr>
              <w:pStyle w:val="895"/>
              <w:ind w:firstLine="0"/>
              <w:spacing w:before="0" w:after="0" w:line="500" w:lineRule="exact"/>
              <w:rPr>
                <w:rFonts w:hint="eastAsia" w:ascii="宋体" w:hAnsi="宋体" w:eastAsia="宋体" w:cs="宋体"/>
                <w:szCs w:val="21"/>
                <w:highlight w:val="none"/>
              </w:rPr>
            </w:pPr>
            <w:r>
              <w:rPr>
                <w:rFonts w:hint="eastAsia" w:ascii="宋体" w:hAnsi="宋体" w:eastAsia="宋体" w:cs="宋体"/>
                <w:highlight w:val="none"/>
              </w:rPr>
              <w:t xml:space="preserve">小写：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元</w:t>
            </w:r>
            <w:r/>
          </w:p>
        </w:tc>
      </w:tr>
      <w:tr>
        <w:trPr>
          <w:cantSplit/>
          <w:trHeight w:val="612"/>
        </w:trPr>
        <w:tc>
          <w:tcPr>
            <w:tcW w:w="9064" w:type="dxa"/>
            <w:vAlign w:val="center"/>
            <w:textDirection w:val="lrTb"/>
            <w:noWrap w:val="false"/>
          </w:tcPr>
          <w:p>
            <w:pPr>
              <w:pStyle w:val="895"/>
              <w:ind w:firstLine="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备注：</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年总服务费。</w:t>
            </w:r>
            <w:r/>
          </w:p>
        </w:tc>
      </w:tr>
    </w:tbl>
    <w:p>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40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注：1、本附件格式仅作参考，投标人以苏采云平台实际情况进行填报。</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40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加盖CA电子签章</w:t>
      </w:r>
      <w:r>
        <w:rPr>
          <w:rFonts w:hint="eastAsia" w:ascii="宋体" w:hAnsi="宋体" w:eastAsia="宋体" w:cs="宋体"/>
          <w:sz w:val="24"/>
          <w:highlight w:val="none"/>
        </w:rPr>
        <w:t xml:space="preserve">）：</w:t>
      </w:r>
      <w:r/>
    </w:p>
    <w:p>
      <w:pPr>
        <w:pStyle w:val="682"/>
        <w:rPr>
          <w:rFonts w:hint="eastAsia" w:ascii="宋体" w:hAnsi="宋体" w:eastAsia="宋体" w:cs="宋体"/>
          <w:highlight w:val="none"/>
        </w:rPr>
      </w:pPr>
      <w:r>
        <w:rPr>
          <w:rFonts w:hint="eastAsia" w:ascii="宋体" w:hAnsi="宋体" w:eastAsia="宋体" w:cs="宋体"/>
          <w:highlight w:val="none"/>
        </w:rPr>
      </w:r>
      <w:r/>
    </w:p>
    <w:p>
      <w:pPr>
        <w:ind w:firstLine="192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法定代表人或委托代理人（签章）：</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320"/>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left"/>
        <w:tabs>
          <w:tab w:val="left" w:pos="606" w:leader="none"/>
        </w:tabs>
        <w:rPr>
          <w:rFonts w:hint="eastAsia" w:ascii="宋体" w:hAnsi="宋体" w:eastAsia="宋体" w:cs="宋体"/>
          <w:highlight w:val="none"/>
        </w:rPr>
        <w:sectPr>
          <w:footerReference w:type="default" r:id="rId12"/>
          <w:footnotePr/>
          <w:endnotePr/>
          <w:type w:val="nextPage"/>
          <w:pgSz w:w="11906" w:h="16838" w:orient="portrait"/>
          <w:pgMar w:top="1440" w:right="1186" w:bottom="1440" w:left="1360" w:header="851" w:footer="907" w:gutter="0"/>
          <w:cols w:num="1" w:sep="0" w:space="0" w:equalWidth="1"/>
          <w:docGrid w:linePitch="360"/>
        </w:sectPr>
      </w:pPr>
      <w:r>
        <w:rPr>
          <w:rFonts w:hint="eastAsia" w:ascii="宋体" w:hAnsi="宋体" w:eastAsia="宋体" w:cs="宋体"/>
          <w:highlight w:val="none"/>
        </w:rPr>
        <w:tab/>
      </w:r>
      <w:r/>
    </w:p>
    <w:p>
      <w:pPr>
        <w:jc w:val="lef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附件2</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投标人符合《政府采购法》第二十二条规定条件的声明函</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480"/>
        <w:spacing w:line="520" w:lineRule="exact"/>
        <w:rPr>
          <w:rFonts w:hint="eastAsia" w:ascii="宋体" w:hAnsi="宋体" w:eastAsia="宋体" w:cs="宋体"/>
          <w:b/>
          <w:bCs/>
          <w:sz w:val="24"/>
          <w:highlight w:val="none"/>
        </w:rPr>
      </w:pPr>
      <w:r>
        <w:rPr>
          <w:rFonts w:hint="eastAsia" w:ascii="宋体" w:hAnsi="宋体" w:eastAsia="宋体" w:cs="宋体"/>
          <w:bCs/>
          <w:sz w:val="24"/>
          <w:highlight w:val="none"/>
        </w:rPr>
        <w:t xml:space="preserve">我单位参加（项目名称），（项目编号）投标活动。针对《中华人民共和国政府采购法》第二十二条规定做出如下声明：</w:t>
      </w:r>
      <w:r/>
    </w:p>
    <w:p>
      <w:pPr>
        <w:ind w:firstLine="482"/>
        <w:spacing w:line="52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1.我单位具有独立承担民事责任的能力；</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2.我单位具有良好的商业信誉和健全的财务会计制度；</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3.我单位具有履行合同所必需的设备和专业技术能力；</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4.我单位有依法缴纳税收和社会保障资金的良好记录；</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6.我单位满足法律、行政法规规定的其他条件。</w:t>
      </w:r>
      <w:r/>
    </w:p>
    <w:p>
      <w:pPr>
        <w:ind w:firstLine="482"/>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jc w:val="cente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承诺人名称（加盖CA电子公章）：</w:t>
      </w:r>
      <w:r/>
    </w:p>
    <w:p>
      <w:pPr>
        <w:jc w:val="right"/>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jc w:val="right"/>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日期：年月日</w:t>
      </w:r>
      <w:r/>
    </w:p>
    <w:p>
      <w:pPr>
        <w:spacing w:line="56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br w:type="page" w:clear="all"/>
      </w:r>
      <w:bookmarkStart w:id="210" w:name="_Toc186493285"/>
      <w:r>
        <w:rPr>
          <w:rFonts w:hint="eastAsia" w:ascii="宋体" w:hAnsi="宋体" w:eastAsia="宋体" w:cs="宋体"/>
          <w:b/>
          <w:sz w:val="24"/>
          <w:szCs w:val="24"/>
          <w:highlight w:val="none"/>
        </w:rPr>
        <w:t xml:space="preserve">附件</w:t>
      </w:r>
      <w:bookmarkEnd w:id="210"/>
      <w:r>
        <w:rPr>
          <w:rFonts w:hint="eastAsia" w:ascii="宋体" w:hAnsi="宋体" w:eastAsia="宋体" w:cs="宋体"/>
          <w:b/>
          <w:sz w:val="24"/>
          <w:szCs w:val="24"/>
          <w:highlight w:val="none"/>
        </w:rPr>
        <w:t xml:space="preserve">3    </w:t>
      </w:r>
      <w:r/>
    </w:p>
    <w:p>
      <w:pPr>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法定代表人身份证明</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先生/女士： 现任我单位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职务，为法定代表人，特此证明。</w:t>
      </w:r>
      <w:r/>
    </w:p>
    <w:p>
      <w:pPr>
        <w:ind w:firstLine="48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身份证号码：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60" w:lineRule="exact"/>
        <w:rPr>
          <w:rFonts w:hint="eastAsia" w:ascii="宋体" w:hAnsi="宋体" w:eastAsia="宋体" w:cs="宋体"/>
          <w:b/>
          <w:sz w:val="24"/>
          <w:highlight w:val="none"/>
        </w:rPr>
      </w:pPr>
      <w:r>
        <w:rPr>
          <w:rFonts w:hint="eastAsia" w:ascii="宋体" w:hAnsi="宋体" w:eastAsia="宋体" w:cs="宋体"/>
          <w:b/>
          <w:sz w:val="24"/>
          <w:szCs w:val="24"/>
          <w:highlight w:val="none"/>
        </w:rPr>
        <w:t xml:space="preserve">注：提供法定代表人的身份证扫描件</w:t>
      </w:r>
      <w:r>
        <w:rPr>
          <w:rFonts w:hint="eastAsia" w:ascii="宋体" w:hAnsi="宋体" w:eastAsia="宋体" w:cs="宋体"/>
          <w:bCs/>
          <w:sz w:val="24"/>
          <w:highlight w:val="none"/>
        </w:rPr>
        <w:t xml:space="preserve">（加盖CA电子公章）</w:t>
      </w:r>
      <w:r>
        <w:rPr>
          <w:rFonts w:hint="eastAsia" w:ascii="宋体" w:hAnsi="宋体" w:eastAsia="宋体" w:cs="宋体"/>
          <w:b/>
          <w:sz w:val="24"/>
          <w:szCs w:val="24"/>
          <w:highlight w:val="none"/>
        </w:rPr>
        <w:br w:type="page" w:clear="all"/>
      </w:r>
      <w:r>
        <w:rPr>
          <w:rFonts w:hint="eastAsia" w:ascii="宋体" w:hAnsi="宋体" w:eastAsia="宋体" w:cs="宋体"/>
          <w:b/>
          <w:sz w:val="24"/>
          <w:highlight w:val="none"/>
        </w:rPr>
        <w:t xml:space="preserve">附件4            </w:t>
      </w:r>
      <w:r/>
    </w:p>
    <w:p>
      <w:pPr>
        <w:ind w:firstLine="480"/>
        <w:jc w:val="center"/>
        <w:spacing w:line="460" w:lineRule="exact"/>
        <w:rPr>
          <w:rFonts w:hint="eastAsia" w:ascii="宋体" w:hAnsi="宋体" w:eastAsia="宋体" w:cs="宋体"/>
          <w:bCs/>
          <w:sz w:val="30"/>
          <w:szCs w:val="30"/>
          <w:highlight w:val="none"/>
        </w:rPr>
      </w:pPr>
      <w:r>
        <w:rPr>
          <w:rFonts w:hint="eastAsia" w:ascii="宋体" w:hAnsi="宋体" w:eastAsia="宋体" w:cs="宋体"/>
          <w:b/>
          <w:sz w:val="30"/>
          <w:szCs w:val="30"/>
          <w:highlight w:val="none"/>
        </w:rPr>
        <w:t xml:space="preserve">法人授权书</w:t>
      </w:r>
      <w:r/>
    </w:p>
    <w:p>
      <w:pPr>
        <w:ind w:left="242" w:firstLine="31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（投标人名称）授权</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（被授权人的姓名）为我方就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被授权人身份证号码：</w:t>
      </w:r>
      <w:r/>
    </w:p>
    <w:p>
      <w:pPr>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被授权人联系电话（手机）：</w:t>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                   </w:t>
      </w:r>
      <w:r/>
    </w:p>
    <w:p>
      <w:pPr>
        <w:ind w:firstLine="48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单位地址：</w:t>
      </w:r>
      <w:r/>
    </w:p>
    <w:p>
      <w:pPr>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bookmarkStart w:id="211" w:name="_Hlt26671380"/>
      <w:r/>
      <w:bookmarkEnd w:id="211"/>
      <w:r/>
      <w:bookmarkStart w:id="212" w:name="_格式3__银行出具的资信证明"/>
      <w:r/>
      <w:bookmarkEnd w:id="212"/>
      <w:r/>
      <w:bookmarkStart w:id="213" w:name="_Hlt26955070"/>
      <w:r/>
      <w:bookmarkEnd w:id="213"/>
      <w:r/>
      <w:r/>
    </w:p>
    <w:p>
      <w:pPr>
        <w:keepLines/>
        <w:keepNext/>
        <w:spacing w:before="260" w:after="260" w:line="416" w:lineRule="auto"/>
        <w:rPr>
          <w:rFonts w:hint="eastAsia" w:ascii="宋体" w:hAnsi="宋体" w:eastAsia="宋体" w:cs="宋体"/>
          <w:b/>
          <w:sz w:val="24"/>
          <w:szCs w:val="44"/>
          <w:highlight w:val="none"/>
        </w:rPr>
      </w:pPr>
      <w:r>
        <w:rPr>
          <w:rFonts w:hint="eastAsia" w:ascii="宋体" w:hAnsi="宋体" w:eastAsia="宋体" w:cs="宋体"/>
          <w:b/>
          <w:sz w:val="24"/>
          <w:szCs w:val="44"/>
          <w:highlight w:val="none"/>
        </w:rPr>
      </w:r>
      <w:r/>
    </w:p>
    <w:p>
      <w:pPr>
        <w:ind w:firstLine="480"/>
        <w:jc w:val="left"/>
        <w:spacing w:line="460" w:lineRule="exact"/>
        <w:rPr>
          <w:rFonts w:hint="eastAsia" w:ascii="宋体" w:hAnsi="宋体" w:eastAsia="宋体" w:cs="宋体"/>
          <w:b/>
          <w:sz w:val="24"/>
          <w:highlight w:val="none"/>
        </w:rPr>
      </w:pPr>
      <w:r>
        <w:rPr>
          <w:rFonts w:hint="eastAsia" w:ascii="宋体" w:hAnsi="宋体" w:eastAsia="宋体" w:cs="宋体"/>
          <w:bCs/>
          <w:sz w:val="24"/>
          <w:szCs w:val="44"/>
          <w:highlight w:val="none"/>
        </w:rPr>
        <w:t xml:space="preserve">注：提供被授权人身份证扫描件（加盖CA电子公章）</w:t>
      </w:r>
      <w:r>
        <w:rPr>
          <w:rFonts w:hint="eastAsia" w:ascii="宋体" w:hAnsi="宋体" w:eastAsia="宋体" w:cs="宋体"/>
          <w:bCs/>
          <w:sz w:val="24"/>
          <w:szCs w:val="44"/>
          <w:highlight w:val="none"/>
        </w:rPr>
        <w:br w:type="page" w:clear="all"/>
      </w:r>
      <w:r>
        <w:rPr>
          <w:rFonts w:hint="eastAsia" w:ascii="宋体" w:hAnsi="宋体" w:eastAsia="宋体" w:cs="宋体"/>
          <w:b/>
          <w:sz w:val="24"/>
          <w:highlight w:val="none"/>
        </w:rPr>
        <w:t xml:space="preserve">附件5                            </w:t>
      </w:r>
      <w:r/>
    </w:p>
    <w:p>
      <w:pPr>
        <w:ind w:firstLine="480"/>
        <w:jc w:val="center"/>
        <w:spacing w:line="46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投标函</w:t>
      </w:r>
      <w:r/>
    </w:p>
    <w:p>
      <w:pPr>
        <w:jc w:val="left"/>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致：</w:t>
      </w:r>
      <w:r>
        <w:rPr>
          <w:rFonts w:hint="eastAsia" w:ascii="宋体" w:hAnsi="宋体" w:eastAsia="宋体" w:cs="宋体"/>
          <w:sz w:val="24"/>
          <w:highlight w:val="none"/>
          <w:lang w:eastAsia="zh-CN"/>
        </w:rPr>
        <w:t xml:space="preserve">如东县洋口镇人民政府</w:t>
      </w:r>
      <w:r/>
    </w:p>
    <w:p>
      <w:pPr>
        <w:ind w:left="905" w:hanging="177"/>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根据贵方的（项目名称）的招标文件，正式授权下述被授权人_____(姓名)代表我方</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（投标人的名称），全权处理本次项目投标的有关事宜。</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据此函，被授权人_____(姓名)兹宣布同意如下：</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7.与本投标有关的正式通讯地址为：</w:t>
      </w:r>
      <w:r/>
    </w:p>
    <w:p>
      <w:pPr>
        <w:ind w:left="420" w:firstLine="480"/>
        <w:jc w:val="left"/>
        <w:spacing w:line="42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地          址：</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邮          编：</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电          话：</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传          真：</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投标人开户行：</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账          号：</w:t>
      </w:r>
      <w:r/>
    </w:p>
    <w:p>
      <w:pPr>
        <w:ind w:left="420" w:firstLine="480"/>
        <w:jc w:val="left"/>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期：_____年____月____日</w:t>
      </w:r>
      <w:r/>
    </w:p>
    <w:p>
      <w:pPr>
        <w:ind w:firstLine="240"/>
        <w:jc w:val="cente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Cs/>
          <w:sz w:val="24"/>
          <w:highlight w:val="none"/>
        </w:rPr>
        <w:br w:type="page" w:clear="all"/>
      </w:r>
      <w:bookmarkEnd w:id="195"/>
      <w:r/>
      <w:bookmarkEnd w:id="196"/>
      <w:r/>
      <w:bookmarkEnd w:id="197"/>
      <w:r/>
      <w:bookmarkStart w:id="214" w:name="_Toc186493289"/>
      <w:r/>
      <w:bookmarkStart w:id="215" w:name="_Toc120614284"/>
      <w:r>
        <w:rPr>
          <w:rFonts w:hint="eastAsia" w:ascii="宋体" w:hAnsi="宋体" w:eastAsia="宋体" w:cs="宋体"/>
          <w:b/>
          <w:sz w:val="24"/>
          <w:szCs w:val="24"/>
          <w:highlight w:val="none"/>
        </w:rPr>
        <w:t xml:space="preserve">附件</w:t>
      </w:r>
      <w:bookmarkEnd w:id="214"/>
      <w:r>
        <w:rPr>
          <w:rFonts w:hint="eastAsia" w:ascii="宋体" w:hAnsi="宋体" w:eastAsia="宋体" w:cs="宋体"/>
          <w:b/>
          <w:sz w:val="24"/>
          <w:szCs w:val="24"/>
          <w:highlight w:val="none"/>
        </w:rPr>
        <w:t xml:space="preserve">6</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技术要求响应及偏离表</w:t>
      </w:r>
      <w:r/>
    </w:p>
    <w:p>
      <w:pPr>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（由投标人据实填写，表格不够自行添加）</w:t>
      </w:r>
      <w:r/>
    </w:p>
    <w:tbl>
      <w:tblPr>
        <w:tblStyle w:val="67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numPr>
          <w:ilvl w:val="0"/>
          <w:numId w:val="2"/>
        </w:numPr>
        <w:contextualSpacing/>
        <w:spacing w:line="30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投标人提交的投标文件中与招标文件第四章“采购需求”中的技术要求如有偏离的，应逐条填列在偏离表中。</w:t>
      </w:r>
      <w:r/>
    </w:p>
    <w:p>
      <w:pPr>
        <w:contextualSpacing/>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704"/>
        <w:rPr>
          <w:rFonts w:hint="eastAsia" w:ascii="宋体" w:hAnsi="宋体" w:eastAsia="宋体" w:cs="宋体"/>
          <w:highlight w:val="none"/>
        </w:rPr>
      </w:pPr>
      <w:r>
        <w:rPr>
          <w:rFonts w:hint="eastAsia" w:ascii="宋体" w:hAnsi="宋体" w:eastAsia="宋体" w:cs="宋体"/>
          <w:highlight w:val="none"/>
        </w:rPr>
      </w:r>
      <w:r/>
    </w:p>
    <w:p>
      <w:pPr>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br w:type="page" w:clear="all"/>
      </w:r>
      <w:bookmarkStart w:id="216" w:name="_Toc186493290"/>
      <w:r>
        <w:rPr>
          <w:rFonts w:hint="eastAsia" w:ascii="宋体" w:hAnsi="宋体" w:eastAsia="宋体" w:cs="宋体"/>
          <w:b/>
          <w:sz w:val="24"/>
          <w:szCs w:val="24"/>
          <w:highlight w:val="none"/>
        </w:rPr>
        <w:t xml:space="preserve">附件</w:t>
      </w:r>
      <w:bookmarkEnd w:id="216"/>
      <w:r>
        <w:rPr>
          <w:rFonts w:hint="eastAsia" w:ascii="宋体" w:hAnsi="宋体" w:eastAsia="宋体" w:cs="宋体"/>
          <w:b/>
          <w:sz w:val="24"/>
          <w:szCs w:val="24"/>
          <w:highlight w:val="none"/>
        </w:rPr>
        <w:t xml:space="preserve">7</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商务要求响应及偏离表</w:t>
      </w:r>
      <w:r/>
    </w:p>
    <w:p>
      <w:pPr>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（由投标人据实填写，表格不够自行添加）</w:t>
      </w:r>
      <w:r/>
    </w:p>
    <w:tbl>
      <w:tblPr>
        <w:tblStyle w:val="67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rHeight w:val="46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numPr>
          <w:ilvl w:val="0"/>
          <w:numId w:val="3"/>
        </w:num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投标人提交的投标文件中与招标文件第四章“采购需求”中的商务要求如有偏离的，应逐条填列在偏离表中。 </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82"/>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bookmarkStart w:id="217" w:name="_Toc186493291"/>
      <w:r>
        <w:rPr>
          <w:rFonts w:hint="eastAsia" w:ascii="宋体" w:hAnsi="宋体" w:eastAsia="宋体" w:cs="宋体"/>
          <w:b/>
          <w:sz w:val="24"/>
          <w:szCs w:val="24"/>
          <w:highlight w:val="none"/>
        </w:rPr>
        <w:t xml:space="preserve">附件</w:t>
      </w:r>
      <w:bookmarkEnd w:id="217"/>
      <w:r>
        <w:rPr>
          <w:rFonts w:hint="eastAsia" w:ascii="宋体" w:hAnsi="宋体" w:eastAsia="宋体" w:cs="宋体"/>
          <w:b/>
          <w:sz w:val="24"/>
          <w:szCs w:val="24"/>
          <w:highlight w:val="none"/>
        </w:rPr>
        <w:t xml:space="preserve">8    </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w:t>
      </w:r>
      <w:r>
        <w:rPr>
          <w:rFonts w:hint="eastAsia" w:ascii="宋体" w:hAnsi="宋体" w:eastAsia="宋体" w:cs="宋体"/>
          <w:b/>
          <w:sz w:val="30"/>
          <w:szCs w:val="30"/>
          <w:highlight w:val="none"/>
          <w:lang w:val="en-US" w:eastAsia="zh-CN"/>
        </w:rPr>
        <w:t xml:space="preserve">                  </w:t>
      </w:r>
      <w:r>
        <w:rPr>
          <w:rFonts w:hint="eastAsia" w:ascii="宋体" w:hAnsi="宋体" w:eastAsia="宋体" w:cs="宋体"/>
          <w:b/>
          <w:sz w:val="30"/>
          <w:szCs w:val="30"/>
          <w:highlight w:val="none"/>
        </w:rPr>
        <w:t xml:space="preserve">实质性要求响应及偏离表 </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047"/>
        <w:gridCol w:w="2438"/>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招标文件技术要求和商务要求中的实质性要求</w:t>
            </w:r>
            <w:r/>
          </w:p>
        </w:tc>
        <w:tc>
          <w:tcPr>
            <w:tcW w:w="304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投标响应情况</w:t>
            </w:r>
            <w:r/>
          </w:p>
        </w:tc>
        <w:tc>
          <w:tcPr>
            <w:tcW w:w="243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6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47"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38"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6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047"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38"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609"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047"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38"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2.如果采购文件要求提供证明材料，供应商必须将证明材料列于该表之下，否则作无效响应处理。</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line="5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704"/>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highlight w:val="none"/>
        </w:rPr>
      </w:pPr>
      <w:r/>
      <w:bookmarkStart w:id="218" w:name="_Toc186493286"/>
      <w:r>
        <w:rPr>
          <w:rFonts w:hint="eastAsia" w:ascii="宋体" w:hAnsi="宋体" w:eastAsia="宋体" w:cs="宋体"/>
          <w:b/>
          <w:sz w:val="24"/>
          <w:highlight w:val="none"/>
        </w:rPr>
        <w:br w:type="page" w:clear="all"/>
      </w:r>
      <w:r/>
    </w:p>
    <w:p>
      <w:pPr>
        <w:jc w:val="left"/>
        <w:rPr>
          <w:rFonts w:hint="eastAsia" w:ascii="宋体" w:hAnsi="宋体" w:eastAsia="宋体" w:cs="宋体"/>
          <w:b/>
          <w:sz w:val="24"/>
          <w:highlight w:val="none"/>
        </w:rPr>
        <w:outlineLvl w:val="0"/>
      </w:pPr>
      <w:r>
        <w:rPr>
          <w:rFonts w:hint="eastAsia" w:ascii="宋体" w:hAnsi="宋体" w:eastAsia="宋体" w:cs="宋体"/>
          <w:b/>
          <w:sz w:val="24"/>
          <w:highlight w:val="none"/>
        </w:rPr>
        <w:t xml:space="preserve">附件</w:t>
      </w:r>
      <w:bookmarkEnd w:id="218"/>
      <w:r>
        <w:rPr>
          <w:rFonts w:hint="eastAsia" w:ascii="宋体" w:hAnsi="宋体" w:eastAsia="宋体" w:cs="宋体"/>
          <w:b/>
          <w:sz w:val="24"/>
          <w:highlight w:val="none"/>
        </w:rPr>
        <w:t xml:space="preserve">9</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中小企业声明函（服务）</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 □小型企业 □微型企业）；</w:t>
      </w:r>
      <w:r/>
    </w:p>
    <w:p>
      <w:pPr>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 □小型企业 □微型企业）；</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firstLine="36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供应商全称（加盖CA电子公章）：</w:t>
      </w:r>
      <w:r/>
    </w:p>
    <w:p>
      <w:pPr>
        <w:ind w:right="480" w:firstLine="55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55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1、如项目类型为“服务”，请按照此格式填写。</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4、投标人自行勾选承接企业的企业规模类型。</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588"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br w:type="page" w:clear="all"/>
      </w:r>
      <w:bookmarkStart w:id="219" w:name="_Toc186493287"/>
      <w:r>
        <w:rPr>
          <w:rFonts w:hint="eastAsia" w:ascii="宋体" w:hAnsi="宋体" w:eastAsia="宋体" w:cs="宋体"/>
          <w:b/>
          <w:sz w:val="24"/>
          <w:szCs w:val="24"/>
          <w:highlight w:val="none"/>
        </w:rPr>
        <w:t xml:space="preserve">附件</w:t>
      </w:r>
      <w:bookmarkEnd w:id="219"/>
      <w:r>
        <w:rPr>
          <w:rFonts w:hint="eastAsia" w:ascii="宋体" w:hAnsi="宋体" w:eastAsia="宋体" w:cs="宋体"/>
          <w:b/>
          <w:sz w:val="24"/>
          <w:szCs w:val="24"/>
          <w:highlight w:val="none"/>
        </w:rPr>
        <w:t xml:space="preserve">10</w:t>
      </w:r>
      <w:r/>
    </w:p>
    <w:p>
      <w:pPr>
        <w:jc w:val="center"/>
        <w:spacing w:line="588" w:lineRule="exact"/>
        <w:rPr>
          <w:rFonts w:hint="eastAsia" w:ascii="宋体" w:hAnsi="宋体" w:eastAsia="宋体" w:cs="宋体"/>
          <w:highlight w:val="none"/>
        </w:rPr>
      </w:pPr>
      <w:r>
        <w:rPr>
          <w:rFonts w:hint="eastAsia" w:ascii="宋体" w:hAnsi="宋体" w:eastAsia="宋体" w:cs="宋体"/>
          <w:b/>
          <w:sz w:val="30"/>
          <w:szCs w:val="30"/>
          <w:highlight w:val="none"/>
        </w:rPr>
        <w:t xml:space="preserve">残疾人福利性单位声明函（服务）</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项目（分包号：**）采购活动由本单位提供服务。</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备注：</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1、如项目类型为“服务”，请按照此格式填写。</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2、专门面向中小微型企业采购的项目，投标人为残疾人福利性单位并提供服务的必须提供此声明函，否则将不能通过资格审查。</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3、 非专门面向中小微型企业采购的项目，投标人如不提供此声明函，价格将不做相应扣除。</w:t>
      </w:r>
      <w:r/>
    </w:p>
    <w:p>
      <w:pPr>
        <w:ind w:firstLine="480"/>
        <w:spacing w:line="0" w:lineRule="atLeast"/>
        <w:rPr>
          <w:rFonts w:hint="eastAsia" w:ascii="宋体" w:hAnsi="宋体" w:eastAsia="宋体" w:cs="宋体"/>
          <w:sz w:val="24"/>
          <w:highlight w:val="none"/>
        </w:rPr>
      </w:pPr>
      <w:r>
        <w:rPr>
          <w:rFonts w:hint="eastAsia" w:ascii="宋体" w:hAnsi="宋体" w:eastAsia="宋体" w:cs="宋体"/>
          <w:sz w:val="24"/>
          <w:highlight w:val="none"/>
        </w:rPr>
        <w:t xml:space="preserve">4、中标人为残疾人福利性单位的，此声明函将随中标结果同时公告，接受社会监督。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jc w:val="center"/>
        <w:spacing w:line="4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outlineLvl w:val="0"/>
      </w:pPr>
      <w:r/>
      <w:bookmarkStart w:id="220" w:name="_Toc186493288"/>
      <w:r/>
      <w:r/>
    </w:p>
    <w:p>
      <w:pPr>
        <w:spacing w:line="42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附件</w:t>
      </w:r>
      <w:bookmarkEnd w:id="220"/>
      <w:r>
        <w:rPr>
          <w:rFonts w:hint="eastAsia" w:ascii="宋体" w:hAnsi="宋体" w:eastAsia="宋体" w:cs="宋体"/>
          <w:b/>
          <w:sz w:val="24"/>
          <w:szCs w:val="24"/>
          <w:highlight w:val="none"/>
        </w:rPr>
        <w:t xml:space="preserve">11</w:t>
      </w:r>
      <w:r/>
    </w:p>
    <w:p>
      <w:pPr>
        <w:jc w:val="center"/>
        <w:spacing w:line="42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监狱和戒毒企业证明材料</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（格式自拟）</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1、专门面向中小微型企业采购的项目，投标人如不提供此证明材料，则不能通过资格审查；非专门面向中小微型企业采购的项目，投标人如不提供此证明材料，价格将不做相应扣除。</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59" w:firstLine="624"/>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供应商全称（加盖CA电子公章）：</w:t>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1559" w:firstLine="480"/>
        <w:jc w:val="center"/>
        <w:spacing w:line="0" w:lineRule="atLeas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04"/>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t xml:space="preserve">附件1</w:t>
      </w:r>
      <w:bookmarkEnd w:id="184"/>
      <w:r/>
      <w:bookmarkEnd w:id="185"/>
      <w:r/>
      <w:bookmarkEnd w:id="215"/>
      <w:r>
        <w:rPr>
          <w:rFonts w:hint="eastAsia" w:ascii="宋体" w:hAnsi="宋体" w:eastAsia="宋体" w:cs="宋体"/>
          <w:color w:val="auto"/>
          <w:highlight w:val="none"/>
        </w:rPr>
        <w:t xml:space="preserve">2</w:t>
      </w:r>
      <w:r/>
    </w:p>
    <w:p>
      <w:pPr>
        <w:jc w:val="center"/>
        <w:rPr>
          <w:rFonts w:hint="eastAsia" w:ascii="宋体" w:hAnsi="宋体" w:eastAsia="宋体" w:cs="宋体"/>
          <w:b/>
          <w:bCs/>
          <w:sz w:val="32"/>
          <w:szCs w:val="32"/>
          <w:highlight w:val="none"/>
        </w:rPr>
        <w:outlineLvl w:val="0"/>
      </w:pPr>
      <w:r/>
      <w:bookmarkStart w:id="221" w:name="_Toc186493292"/>
      <w:r>
        <w:rPr>
          <w:rFonts w:hint="eastAsia" w:ascii="宋体" w:hAnsi="宋体" w:eastAsia="宋体" w:cs="宋体"/>
          <w:b/>
          <w:bCs/>
          <w:sz w:val="32"/>
          <w:szCs w:val="32"/>
          <w:highlight w:val="none"/>
        </w:rPr>
        <w:t xml:space="preserve">质疑函范本</w:t>
      </w:r>
      <w:bookmarkEnd w:id="221"/>
      <w:r/>
      <w:r/>
    </w:p>
    <w:p>
      <w:pPr>
        <w:spacing w:before="290" w:line="360" w:lineRule="auto"/>
        <w:rPr>
          <w:rFonts w:hint="eastAsia" w:ascii="宋体" w:hAnsi="宋体" w:eastAsia="宋体" w:cs="宋体"/>
          <w:bCs/>
          <w:sz w:val="24"/>
          <w:szCs w:val="24"/>
          <w:highlight w:val="none"/>
        </w:rPr>
        <w:outlineLvl w:val="0"/>
      </w:pPr>
      <w:r/>
      <w:bookmarkStart w:id="222" w:name="_Toc186493293"/>
      <w:r>
        <w:rPr>
          <w:rFonts w:hint="eastAsia" w:ascii="宋体" w:hAnsi="宋体" w:eastAsia="宋体" w:cs="宋体"/>
          <w:bCs/>
          <w:sz w:val="24"/>
          <w:szCs w:val="24"/>
          <w:highlight w:val="none"/>
        </w:rPr>
        <w:t xml:space="preserve">一、质疑供应商基本信息</w:t>
      </w:r>
      <w:bookmarkEnd w:id="222"/>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联系人：联系电话：</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w:t>
      </w:r>
      <w:r/>
    </w:p>
    <w:p>
      <w:pPr>
        <w:spacing w:line="360" w:lineRule="auto"/>
        <w:rPr>
          <w:rFonts w:hint="eastAsia" w:ascii="宋体" w:hAnsi="宋体" w:eastAsia="宋体" w:cs="宋体"/>
          <w:bCs/>
          <w:sz w:val="24"/>
          <w:szCs w:val="24"/>
          <w:highlight w:val="none"/>
        </w:rPr>
        <w:outlineLvl w:val="0"/>
      </w:pPr>
      <w:r/>
      <w:bookmarkStart w:id="223" w:name="_Toc186493294"/>
      <w:r>
        <w:rPr>
          <w:rFonts w:hint="eastAsia" w:ascii="宋体" w:hAnsi="宋体" w:eastAsia="宋体" w:cs="宋体"/>
          <w:bCs/>
          <w:sz w:val="24"/>
          <w:szCs w:val="24"/>
          <w:highlight w:val="none"/>
        </w:rPr>
        <w:t xml:space="preserve">二、质疑项目基本情况</w:t>
      </w:r>
      <w:bookmarkEnd w:id="223"/>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质疑项目的编号：包号：</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p>
    <w:p>
      <w:pPr>
        <w:spacing w:line="360" w:lineRule="auto"/>
        <w:rPr>
          <w:rFonts w:hint="eastAsia" w:ascii="宋体" w:hAnsi="宋体" w:eastAsia="宋体" w:cs="宋体"/>
          <w:bCs/>
          <w:sz w:val="24"/>
          <w:szCs w:val="24"/>
          <w:highlight w:val="none"/>
        </w:rPr>
        <w:outlineLvl w:val="0"/>
      </w:pPr>
      <w:r/>
      <w:bookmarkStart w:id="224" w:name="_Toc186493295"/>
      <w:r>
        <w:rPr>
          <w:rFonts w:hint="eastAsia" w:ascii="宋体" w:hAnsi="宋体" w:eastAsia="宋体" w:cs="宋体"/>
          <w:bCs/>
          <w:sz w:val="24"/>
          <w:szCs w:val="24"/>
          <w:highlight w:val="none"/>
        </w:rPr>
        <w:t xml:space="preserve">三、质疑事项具体内容</w:t>
      </w:r>
      <w:bookmarkEnd w:id="224"/>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sz w:val="24"/>
          <w:szCs w:val="24"/>
          <w:highlight w:val="none"/>
        </w:rPr>
        <w:outlineLvl w:val="0"/>
      </w:pPr>
      <w:r/>
      <w:bookmarkStart w:id="225" w:name="_Toc186493296"/>
      <w:r>
        <w:rPr>
          <w:rFonts w:hint="eastAsia" w:ascii="宋体" w:hAnsi="宋体" w:eastAsia="宋体" w:cs="宋体"/>
          <w:bCs/>
          <w:sz w:val="24"/>
          <w:szCs w:val="24"/>
          <w:highlight w:val="none"/>
        </w:rPr>
        <w:t xml:space="preserve">四、与质疑事项相关的质疑请求</w:t>
      </w:r>
      <w:bookmarkEnd w:id="225"/>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7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080" w:bottom="1440" w:left="1080" w:header="907"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66480"/>
      <w:rPr/>
    </w:sdtPr>
    <w:sdtContent>
      <w:p>
        <w:pPr>
          <w:pStyle w:val="691"/>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691"/>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fldChar w:fldCharType="begin"/>
    </w:r>
    <w:r>
      <w:instrText xml:space="preserve"> PAGE   \* MERGEFORMAT </w:instrText>
    </w:r>
    <w:r>
      <w:fldChar w:fldCharType="separate"/>
    </w:r>
    <w:r>
      <w:rPr>
        <w:lang w:val="zh-CN"/>
      </w:rPr>
      <w:t xml:space="preserve">19</w:t>
    </w:r>
    <w:r>
      <w:rPr>
        <w:lang w:val="zh-CN"/>
      </w:rPr>
      <w:fldChar w:fldCharType="end"/>
    </w:r>
    <w:r/>
  </w:p>
  <w:p>
    <w:pPr>
      <w:pStyle w:val="691"/>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uiPriority w:val="0"/>
    <w:qFormat/>
    <w:pPr>
      <w:jc w:val="center"/>
      <w:keepNext/>
      <w:outlineLvl w:val="0"/>
    </w:pPr>
    <w:rPr>
      <w:rFonts w:ascii="楷体_GB2312" w:eastAsia="楷体_GB2312"/>
      <w:sz w:val="28"/>
      <w:szCs w:val="28"/>
    </w:rPr>
  </w:style>
  <w:style w:type="paragraph" w:styleId="668">
    <w:name w:val="Heading 2"/>
    <w:basedOn w:val="667"/>
    <w:next w:val="678"/>
    <w:link w:val="713"/>
    <w:uiPriority w:val="9"/>
    <w:unhideWhenUsed/>
    <w:qFormat/>
    <w:pPr>
      <w:keepLines/>
      <w:keepNext/>
      <w:spacing w:before="360" w:after="200"/>
      <w:outlineLvl w:val="1"/>
    </w:pPr>
    <w:rPr>
      <w:rFonts w:ascii="Arial" w:hAnsi="Arial" w:eastAsia="Arial" w:cs="Arial"/>
      <w:sz w:val="34"/>
    </w:rPr>
  </w:style>
  <w:style w:type="paragraph" w:styleId="669">
    <w:name w:val="Heading 3"/>
    <w:basedOn w:val="668"/>
    <w:next w:val="666"/>
    <w:link w:val="714"/>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78"/>
    <w:link w:val="715"/>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1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53"/>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55"/>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56"/>
    <w:uiPriority w:val="9"/>
    <w:unhideWhenUsed/>
    <w:qFormat/>
    <w:pPr>
      <w:keepLines/>
      <w:keepNext/>
      <w:spacing w:before="320" w:after="200"/>
      <w:outlineLvl w:val="8"/>
    </w:pPr>
    <w:rPr>
      <w:rFonts w:ascii="Arial" w:hAnsi="Arial" w:eastAsia="Arial" w:cs="Arial"/>
      <w:i/>
      <w:iCs/>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basedOn w:val="666"/>
    <w:uiPriority w:val="0"/>
    <w:qFormat/>
    <w:pPr>
      <w:ind w:firstLine="420"/>
    </w:pPr>
  </w:style>
  <w:style w:type="paragraph" w:styleId="679">
    <w:name w:val="toc 7"/>
    <w:basedOn w:val="666"/>
    <w:next w:val="666"/>
    <w:uiPriority w:val="39"/>
    <w:unhideWhenUsed/>
    <w:qFormat/>
    <w:pPr>
      <w:ind w:left="1701"/>
      <w:spacing w:after="57"/>
    </w:pPr>
  </w:style>
  <w:style w:type="paragraph" w:styleId="680">
    <w:name w:val="Caption"/>
    <w:basedOn w:val="666"/>
    <w:next w:val="66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1">
    <w:name w:val="annotation text"/>
    <w:basedOn w:val="666"/>
    <w:uiPriority w:val="99"/>
    <w:semiHidden/>
    <w:unhideWhenUsed/>
    <w:qFormat/>
    <w:pPr>
      <w:jc w:val="left"/>
    </w:pPr>
  </w:style>
  <w:style w:type="paragraph" w:styleId="682">
    <w:name w:val="Body Text"/>
    <w:basedOn w:val="666"/>
    <w:next w:val="666"/>
    <w:uiPriority w:val="0"/>
    <w:qFormat/>
    <w:rPr>
      <w:rFonts w:ascii="楷体_GB2312" w:hAnsi="Arial" w:eastAsia="楷体_GB2312"/>
      <w:sz w:val="28"/>
      <w:szCs w:val="28"/>
    </w:rPr>
  </w:style>
  <w:style w:type="paragraph" w:styleId="683">
    <w:name w:val="Body Text Indent"/>
    <w:basedOn w:val="666"/>
    <w:next w:val="684"/>
    <w:uiPriority w:val="0"/>
    <w:qFormat/>
    <w:pPr>
      <w:ind w:firstLine="645"/>
    </w:pPr>
    <w:rPr>
      <w:rFonts w:ascii="楷体_GB2312" w:eastAsia="楷体_GB2312"/>
      <w:sz w:val="32"/>
      <w:szCs w:val="32"/>
    </w:rPr>
  </w:style>
  <w:style w:type="paragraph" w:styleId="684">
    <w:name w:val="envelope return"/>
    <w:basedOn w:val="666"/>
    <w:uiPriority w:val="99"/>
    <w:unhideWhenUsed/>
    <w:qFormat/>
    <w:rPr>
      <w:rFonts w:ascii="Arial" w:hAnsi="Arial"/>
    </w:rPr>
  </w:style>
  <w:style w:type="paragraph" w:styleId="685">
    <w:name w:val="toc 5"/>
    <w:basedOn w:val="666"/>
    <w:next w:val="666"/>
    <w:uiPriority w:val="39"/>
    <w:unhideWhenUsed/>
    <w:qFormat/>
    <w:pPr>
      <w:ind w:left="1134"/>
      <w:spacing w:after="57"/>
    </w:pPr>
  </w:style>
  <w:style w:type="paragraph" w:styleId="686">
    <w:name w:val="toc 3"/>
    <w:basedOn w:val="666"/>
    <w:next w:val="666"/>
    <w:uiPriority w:val="39"/>
    <w:unhideWhenUsed/>
    <w:qFormat/>
    <w:pPr>
      <w:ind w:left="567"/>
      <w:spacing w:after="57"/>
    </w:pPr>
  </w:style>
  <w:style w:type="paragraph" w:styleId="687">
    <w:name w:val="Plain Text"/>
    <w:basedOn w:val="666"/>
    <w:uiPriority w:val="0"/>
    <w:qFormat/>
    <w:rPr>
      <w:rFonts w:ascii="宋体" w:hAnsi="Courier New" w:cs="Courier New"/>
    </w:rPr>
  </w:style>
  <w:style w:type="paragraph" w:styleId="688">
    <w:name w:val="toc 8"/>
    <w:basedOn w:val="666"/>
    <w:next w:val="666"/>
    <w:uiPriority w:val="39"/>
    <w:unhideWhenUsed/>
    <w:qFormat/>
    <w:pPr>
      <w:ind w:left="1984"/>
      <w:spacing w:after="57"/>
    </w:pPr>
  </w:style>
  <w:style w:type="paragraph" w:styleId="689">
    <w:name w:val="endnote text"/>
    <w:basedOn w:val="666"/>
    <w:link w:val="893"/>
    <w:uiPriority w:val="99"/>
    <w:semiHidden/>
    <w:unhideWhenUsed/>
    <w:qFormat/>
    <w:rPr>
      <w:sz w:val="20"/>
    </w:rPr>
  </w:style>
  <w:style w:type="paragraph" w:styleId="690">
    <w:name w:val="Balloon Text"/>
    <w:basedOn w:val="666"/>
    <w:link w:val="923"/>
    <w:uiPriority w:val="99"/>
    <w:semiHidden/>
    <w:unhideWhenUsed/>
    <w:qFormat/>
    <w:rPr>
      <w:sz w:val="18"/>
      <w:szCs w:val="18"/>
    </w:rPr>
  </w:style>
  <w:style w:type="paragraph" w:styleId="691">
    <w:name w:val="Footer"/>
    <w:basedOn w:val="666"/>
    <w:link w:val="909"/>
    <w:uiPriority w:val="99"/>
    <w:qFormat/>
    <w:pPr>
      <w:jc w:val="left"/>
      <w:tabs>
        <w:tab w:val="center" w:pos="4153" w:leader="none"/>
        <w:tab w:val="right" w:pos="8306" w:leader="none"/>
      </w:tabs>
    </w:pPr>
    <w:rPr>
      <w:sz w:val="18"/>
      <w:szCs w:val="18"/>
    </w:rPr>
  </w:style>
  <w:style w:type="paragraph" w:styleId="692">
    <w:name w:val="Header"/>
    <w:basedOn w:val="666"/>
    <w:uiPriority w:val="0"/>
    <w:qFormat/>
    <w:pPr>
      <w:jc w:val="center"/>
      <w:tabs>
        <w:tab w:val="center" w:pos="4153" w:leader="none"/>
        <w:tab w:val="right" w:pos="8306" w:leader="none"/>
      </w:tabs>
    </w:pPr>
    <w:rPr>
      <w:sz w:val="18"/>
      <w:szCs w:val="18"/>
    </w:rPr>
  </w:style>
  <w:style w:type="paragraph" w:styleId="693">
    <w:name w:val="toc 1"/>
    <w:basedOn w:val="666"/>
    <w:next w:val="666"/>
    <w:uiPriority w:val="39"/>
    <w:qFormat/>
    <w:pPr>
      <w:jc w:val="left"/>
      <w:spacing w:before="120" w:after="120" w:line="400" w:lineRule="exact"/>
      <w:tabs>
        <w:tab w:val="right" w:pos="8720" w:leader="dot"/>
      </w:tabs>
    </w:pPr>
    <w:rPr>
      <w:rFonts w:ascii="宋体" w:hAnsi="宋体"/>
      <w:caps/>
      <w:sz w:val="24"/>
      <w:szCs w:val="24"/>
    </w:rPr>
  </w:style>
  <w:style w:type="paragraph" w:styleId="694">
    <w:name w:val="toc 4"/>
    <w:basedOn w:val="666"/>
    <w:next w:val="666"/>
    <w:uiPriority w:val="39"/>
    <w:unhideWhenUsed/>
    <w:qFormat/>
    <w:pPr>
      <w:ind w:left="850"/>
      <w:spacing w:after="57"/>
    </w:pPr>
  </w:style>
  <w:style w:type="paragraph" w:styleId="695">
    <w:name w:val="Subtitle"/>
    <w:basedOn w:val="666"/>
    <w:next w:val="666"/>
    <w:link w:val="759"/>
    <w:uiPriority w:val="11"/>
    <w:qFormat/>
    <w:pPr>
      <w:spacing w:before="200" w:after="200"/>
    </w:pPr>
    <w:rPr>
      <w:sz w:val="24"/>
      <w:szCs w:val="24"/>
    </w:rPr>
  </w:style>
  <w:style w:type="paragraph" w:styleId="696">
    <w:name w:val="footnote text"/>
    <w:basedOn w:val="666"/>
    <w:link w:val="892"/>
    <w:uiPriority w:val="99"/>
    <w:semiHidden/>
    <w:unhideWhenUsed/>
    <w:qFormat/>
    <w:pPr>
      <w:spacing w:after="40"/>
    </w:pPr>
    <w:rPr>
      <w:sz w:val="18"/>
    </w:rPr>
  </w:style>
  <w:style w:type="paragraph" w:styleId="697">
    <w:name w:val="toc 6"/>
    <w:basedOn w:val="666"/>
    <w:next w:val="666"/>
    <w:uiPriority w:val="39"/>
    <w:unhideWhenUsed/>
    <w:qFormat/>
    <w:pPr>
      <w:ind w:left="1417"/>
      <w:spacing w:after="57"/>
    </w:pPr>
  </w:style>
  <w:style w:type="paragraph" w:styleId="698">
    <w:name w:val="table of figures"/>
    <w:basedOn w:val="666"/>
    <w:next w:val="666"/>
    <w:uiPriority w:val="99"/>
    <w:unhideWhenUsed/>
    <w:qFormat/>
  </w:style>
  <w:style w:type="paragraph" w:styleId="699">
    <w:name w:val="toc 2"/>
    <w:basedOn w:val="666"/>
    <w:next w:val="666"/>
    <w:uiPriority w:val="39"/>
    <w:unhideWhenUsed/>
    <w:qFormat/>
    <w:pPr>
      <w:ind w:left="283"/>
      <w:spacing w:after="57"/>
    </w:pPr>
  </w:style>
  <w:style w:type="paragraph" w:styleId="700">
    <w:name w:val="toc 9"/>
    <w:basedOn w:val="666"/>
    <w:next w:val="666"/>
    <w:uiPriority w:val="39"/>
    <w:unhideWhenUsed/>
    <w:qFormat/>
    <w:pPr>
      <w:ind w:left="2268"/>
      <w:spacing w:after="57"/>
    </w:pPr>
  </w:style>
  <w:style w:type="paragraph" w:styleId="701">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02">
    <w:name w:val="Title"/>
    <w:basedOn w:val="666"/>
    <w:link w:val="758"/>
    <w:uiPriority w:val="10"/>
    <w:qFormat/>
    <w:pPr>
      <w:contextualSpacing/>
      <w:spacing w:before="300" w:after="200"/>
    </w:pPr>
    <w:rPr>
      <w:sz w:val="48"/>
      <w:szCs w:val="48"/>
    </w:rPr>
  </w:style>
  <w:style w:type="paragraph" w:styleId="703">
    <w:name w:val="Body Text First Indent"/>
    <w:basedOn w:val="682"/>
    <w:uiPriority w:val="0"/>
    <w:qFormat/>
    <w:pPr>
      <w:ind w:firstLine="200"/>
      <w:spacing w:line="360" w:lineRule="auto"/>
    </w:pPr>
    <w:rPr>
      <w:rFonts w:ascii="仿宋_GB2312" w:eastAsia="仿宋_GB2312"/>
      <w:sz w:val="30"/>
      <w:szCs w:val="30"/>
    </w:rPr>
  </w:style>
  <w:style w:type="paragraph" w:styleId="704">
    <w:name w:val="Body Text First Indent 2"/>
    <w:basedOn w:val="683"/>
    <w:next w:val="666"/>
    <w:uiPriority w:val="0"/>
    <w:qFormat/>
    <w:pPr>
      <w:ind w:firstLine="420"/>
      <w:spacing w:line="360" w:lineRule="auto"/>
    </w:pPr>
    <w:rPr>
      <w:rFonts w:ascii="宋体" w:hAnsi="宋体" w:eastAsia="宋体"/>
      <w:sz w:val="21"/>
      <w:szCs w:val="20"/>
    </w:rPr>
  </w:style>
  <w:style w:type="table" w:styleId="705">
    <w:name w:val="Table Grid"/>
    <w:basedOn w:val="6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basedOn w:val="676"/>
    <w:uiPriority w:val="22"/>
    <w:qFormat/>
    <w:rPr>
      <w:b/>
    </w:rPr>
  </w:style>
  <w:style w:type="character" w:styleId="707">
    <w:name w:val="endnote reference"/>
    <w:basedOn w:val="676"/>
    <w:uiPriority w:val="99"/>
    <w:semiHidden/>
    <w:unhideWhenUsed/>
    <w:qFormat/>
    <w:rPr>
      <w:vertAlign w:val="superscript"/>
    </w:rPr>
  </w:style>
  <w:style w:type="character" w:styleId="708">
    <w:name w:val="page number"/>
    <w:uiPriority w:val="0"/>
    <w:qFormat/>
  </w:style>
  <w:style w:type="character" w:styleId="709">
    <w:name w:val="FollowedHyperlink"/>
    <w:basedOn w:val="676"/>
    <w:uiPriority w:val="99"/>
    <w:semiHidden/>
    <w:unhideWhenUsed/>
    <w:qFormat/>
    <w:rPr>
      <w:color w:val="333333"/>
      <w:u w:val="none"/>
    </w:rPr>
  </w:style>
  <w:style w:type="character" w:styleId="710">
    <w:name w:val="Hyperlink"/>
    <w:uiPriority w:val="99"/>
    <w:unhideWhenUsed/>
    <w:qFormat/>
    <w:rPr>
      <w:color w:val="0026e5" w:themeColor="hyperlink"/>
      <w:u w:val="single"/>
      <w14:textFill>
        <w14:solidFill>
          <w14:schemeClr w14:val="hlink"/>
        </w14:solidFill>
      </w14:textFill>
    </w:rPr>
  </w:style>
  <w:style w:type="character" w:styleId="711">
    <w:name w:val="footnote reference"/>
    <w:basedOn w:val="676"/>
    <w:uiPriority w:val="99"/>
    <w:unhideWhenUsed/>
    <w:qFormat/>
    <w:rPr>
      <w:vertAlign w:val="superscript"/>
    </w:rPr>
  </w:style>
  <w:style w:type="paragraph" w:styleId="712" w:customStyle="1">
    <w:name w:val="Table Text"/>
    <w:basedOn w:val="666"/>
    <w:uiPriority w:val="0"/>
    <w:semiHidden/>
    <w:qFormat/>
    <w:rPr>
      <w:rFonts w:ascii="微软雅黑" w:hAnsi="微软雅黑" w:eastAsia="微软雅黑" w:cs="微软雅黑"/>
      <w:sz w:val="20"/>
      <w:szCs w:val="20"/>
      <w:lang w:val="en-US" w:eastAsia="en-US" w:bidi="ar-SA"/>
    </w:rPr>
  </w:style>
  <w:style w:type="character" w:styleId="713" w:customStyle="1">
    <w:name w:val="标题 2 Char"/>
    <w:basedOn w:val="676"/>
    <w:link w:val="668"/>
    <w:uiPriority w:val="9"/>
    <w:qFormat/>
    <w:rPr>
      <w:rFonts w:ascii="Arial" w:hAnsi="Arial" w:eastAsia="Arial" w:cs="Arial"/>
      <w:sz w:val="34"/>
    </w:rPr>
  </w:style>
  <w:style w:type="character" w:styleId="714" w:customStyle="1">
    <w:name w:val="标题 3 Char"/>
    <w:basedOn w:val="676"/>
    <w:link w:val="669"/>
    <w:uiPriority w:val="9"/>
    <w:qFormat/>
    <w:rPr>
      <w:rFonts w:ascii="Arial" w:hAnsi="Arial" w:eastAsia="Arial" w:cs="Arial"/>
      <w:sz w:val="30"/>
      <w:szCs w:val="30"/>
    </w:rPr>
  </w:style>
  <w:style w:type="character" w:styleId="715" w:customStyle="1">
    <w:name w:val="标题 4 Char"/>
    <w:basedOn w:val="676"/>
    <w:link w:val="670"/>
    <w:uiPriority w:val="9"/>
    <w:qFormat/>
    <w:rPr>
      <w:rFonts w:ascii="Arial" w:hAnsi="Arial" w:eastAsia="Arial" w:cs="Arial"/>
      <w:b/>
      <w:bCs/>
      <w:sz w:val="26"/>
      <w:szCs w:val="26"/>
    </w:rPr>
  </w:style>
  <w:style w:type="character" w:styleId="716" w:customStyle="1">
    <w:name w:val="标题 5 Char"/>
    <w:basedOn w:val="676"/>
    <w:link w:val="671"/>
    <w:uiPriority w:val="9"/>
    <w:qFormat/>
    <w:rPr>
      <w:rFonts w:ascii="Arial" w:hAnsi="Arial" w:eastAsia="Arial" w:cs="Arial"/>
      <w:b/>
      <w:bCs/>
      <w:sz w:val="24"/>
      <w:szCs w:val="24"/>
    </w:rPr>
  </w:style>
  <w:style w:type="character" w:styleId="717" w:customStyle="1">
    <w:name w:val="Heading 2 Char"/>
    <w:basedOn w:val="676"/>
    <w:uiPriority w:val="9"/>
    <w:qFormat/>
    <w:rPr>
      <w:rFonts w:ascii="Arial" w:hAnsi="Arial" w:eastAsia="Arial" w:cs="Arial"/>
      <w:sz w:val="34"/>
    </w:rPr>
  </w:style>
  <w:style w:type="character" w:styleId="718" w:customStyle="1">
    <w:name w:val="Heading 3 Char"/>
    <w:basedOn w:val="676"/>
    <w:uiPriority w:val="9"/>
    <w:qFormat/>
    <w:rPr>
      <w:rFonts w:ascii="Arial" w:hAnsi="Arial" w:eastAsia="Arial" w:cs="Arial"/>
      <w:sz w:val="30"/>
      <w:szCs w:val="30"/>
    </w:rPr>
  </w:style>
  <w:style w:type="character" w:styleId="719" w:customStyle="1">
    <w:name w:val="Heading 4 Char"/>
    <w:basedOn w:val="676"/>
    <w:uiPriority w:val="9"/>
    <w:qFormat/>
    <w:rPr>
      <w:rFonts w:ascii="Arial" w:hAnsi="Arial" w:eastAsia="Arial" w:cs="Arial"/>
      <w:b/>
      <w:bCs/>
      <w:sz w:val="26"/>
      <w:szCs w:val="26"/>
    </w:rPr>
  </w:style>
  <w:style w:type="character" w:styleId="720" w:customStyle="1">
    <w:name w:val="Heading 5 Char"/>
    <w:basedOn w:val="676"/>
    <w:uiPriority w:val="9"/>
    <w:qFormat/>
    <w:rPr>
      <w:rFonts w:ascii="Arial" w:hAnsi="Arial" w:eastAsia="Arial" w:cs="Arial"/>
      <w:b/>
      <w:bCs/>
      <w:sz w:val="24"/>
      <w:szCs w:val="24"/>
    </w:rPr>
  </w:style>
  <w:style w:type="character" w:styleId="721" w:customStyle="1">
    <w:name w:val="Heading 6 Char"/>
    <w:basedOn w:val="676"/>
    <w:uiPriority w:val="9"/>
    <w:qFormat/>
    <w:rPr>
      <w:rFonts w:ascii="Arial" w:hAnsi="Arial" w:eastAsia="Arial" w:cs="Arial"/>
      <w:b/>
      <w:bCs/>
      <w:sz w:val="22"/>
      <w:szCs w:val="22"/>
    </w:rPr>
  </w:style>
  <w:style w:type="character" w:styleId="722" w:customStyle="1">
    <w:name w:val="Heading 7 Char"/>
    <w:basedOn w:val="676"/>
    <w:uiPriority w:val="9"/>
    <w:qFormat/>
    <w:rPr>
      <w:rFonts w:ascii="Arial" w:hAnsi="Arial" w:eastAsia="Arial" w:cs="Arial"/>
      <w:b/>
      <w:bCs/>
      <w:i/>
      <w:iCs/>
      <w:sz w:val="22"/>
      <w:szCs w:val="22"/>
    </w:rPr>
  </w:style>
  <w:style w:type="character" w:styleId="723" w:customStyle="1">
    <w:name w:val="Heading 8 Char"/>
    <w:basedOn w:val="676"/>
    <w:uiPriority w:val="9"/>
    <w:qFormat/>
    <w:rPr>
      <w:rFonts w:ascii="Arial" w:hAnsi="Arial" w:eastAsia="Arial" w:cs="Arial"/>
      <w:i/>
      <w:iCs/>
      <w:sz w:val="22"/>
      <w:szCs w:val="22"/>
    </w:rPr>
  </w:style>
  <w:style w:type="character" w:styleId="724" w:customStyle="1">
    <w:name w:val="Heading 9 Char"/>
    <w:basedOn w:val="676"/>
    <w:uiPriority w:val="9"/>
    <w:qFormat/>
    <w:rPr>
      <w:rFonts w:ascii="Arial" w:hAnsi="Arial" w:eastAsia="Arial" w:cs="Arial"/>
      <w:i/>
      <w:iCs/>
      <w:sz w:val="21"/>
      <w:szCs w:val="21"/>
    </w:rPr>
  </w:style>
  <w:style w:type="character" w:styleId="725" w:customStyle="1">
    <w:name w:val="Title Char"/>
    <w:basedOn w:val="676"/>
    <w:uiPriority w:val="10"/>
    <w:qFormat/>
    <w:rPr>
      <w:sz w:val="48"/>
      <w:szCs w:val="48"/>
    </w:rPr>
  </w:style>
  <w:style w:type="character" w:styleId="726" w:customStyle="1">
    <w:name w:val="Subtitle Char"/>
    <w:basedOn w:val="676"/>
    <w:uiPriority w:val="11"/>
    <w:qFormat/>
    <w:rPr>
      <w:sz w:val="24"/>
      <w:szCs w:val="24"/>
    </w:rPr>
  </w:style>
  <w:style w:type="character" w:styleId="727" w:customStyle="1">
    <w:name w:val="Quote Char"/>
    <w:uiPriority w:val="29"/>
    <w:qFormat/>
    <w:rPr>
      <w:i/>
    </w:rPr>
  </w:style>
  <w:style w:type="character" w:styleId="728" w:customStyle="1">
    <w:name w:val="Intense Quote Char"/>
    <w:uiPriority w:val="30"/>
    <w:qFormat/>
    <w:rPr>
      <w:i/>
    </w:rPr>
  </w:style>
  <w:style w:type="table" w:styleId="729" w:customStyle="1">
    <w:name w:val="Plain Table 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标题1"/>
    <w:uiPriority w:val="39"/>
    <w:unhideWhenUsed/>
    <w:qFormat/>
    <w:rPr>
      <w:rFonts w:asciiTheme="minorHAnsi" w:hAnsiTheme="minorHAnsi" w:eastAsiaTheme="minorEastAsia" w:cstheme="minorBidi"/>
      <w:lang w:val="en-US" w:eastAsia="zh-CN" w:bidi="ar-SA"/>
    </w:rPr>
  </w:style>
  <w:style w:type="paragraph" w:styleId="751" w:customStyle="1">
    <w:name w:val="报告正文"/>
    <w:basedOn w:val="666"/>
    <w:uiPriority w:val="0"/>
    <w:qFormat/>
    <w:pPr>
      <w:ind w:firstLine="560"/>
    </w:pPr>
    <w:rPr>
      <w:szCs w:val="20"/>
      <w:lang w:val="zh-CN"/>
    </w:rPr>
  </w:style>
  <w:style w:type="character" w:styleId="752" w:customStyle="1">
    <w:name w:val="Heading 1 Char"/>
    <w:basedOn w:val="676"/>
    <w:uiPriority w:val="9"/>
    <w:qFormat/>
    <w:rPr>
      <w:rFonts w:ascii="Arial" w:hAnsi="Arial" w:eastAsia="Arial" w:cs="Arial"/>
      <w:sz w:val="40"/>
      <w:szCs w:val="40"/>
    </w:rPr>
  </w:style>
  <w:style w:type="character" w:styleId="753" w:customStyle="1">
    <w:name w:val="标题 6 Char"/>
    <w:basedOn w:val="676"/>
    <w:link w:val="672"/>
    <w:uiPriority w:val="9"/>
    <w:qFormat/>
    <w:rPr>
      <w:rFonts w:ascii="Arial" w:hAnsi="Arial" w:eastAsia="Arial" w:cs="Arial"/>
      <w:b/>
      <w:bCs/>
      <w:sz w:val="22"/>
      <w:szCs w:val="22"/>
    </w:rPr>
  </w:style>
  <w:style w:type="character" w:styleId="754" w:customStyle="1">
    <w:name w:val="标题 7 Char"/>
    <w:basedOn w:val="676"/>
    <w:link w:val="673"/>
    <w:uiPriority w:val="9"/>
    <w:qFormat/>
    <w:rPr>
      <w:rFonts w:ascii="Arial" w:hAnsi="Arial" w:eastAsia="Arial" w:cs="Arial"/>
      <w:b/>
      <w:bCs/>
      <w:i/>
      <w:iCs/>
      <w:sz w:val="22"/>
      <w:szCs w:val="22"/>
    </w:rPr>
  </w:style>
  <w:style w:type="character" w:styleId="755" w:customStyle="1">
    <w:name w:val="标题 8 Char"/>
    <w:basedOn w:val="676"/>
    <w:link w:val="674"/>
    <w:uiPriority w:val="9"/>
    <w:qFormat/>
    <w:rPr>
      <w:rFonts w:ascii="Arial" w:hAnsi="Arial" w:eastAsia="Arial" w:cs="Arial"/>
      <w:i/>
      <w:iCs/>
      <w:sz w:val="22"/>
      <w:szCs w:val="22"/>
    </w:rPr>
  </w:style>
  <w:style w:type="character" w:styleId="756" w:customStyle="1">
    <w:name w:val="标题 9 Char"/>
    <w:basedOn w:val="676"/>
    <w:link w:val="675"/>
    <w:uiPriority w:val="9"/>
    <w:qFormat/>
    <w:rPr>
      <w:rFonts w:ascii="Arial" w:hAnsi="Arial" w:eastAsia="Arial" w:cs="Arial"/>
      <w:i/>
      <w:iCs/>
      <w:sz w:val="21"/>
      <w:szCs w:val="21"/>
    </w:rPr>
  </w:style>
  <w:style w:type="paragraph" w:styleId="757">
    <w:name w:val="List Paragraph"/>
    <w:basedOn w:val="666"/>
    <w:uiPriority w:val="34"/>
    <w:qFormat/>
    <w:pPr>
      <w:contextualSpacing/>
      <w:ind w:left="720"/>
    </w:pPr>
  </w:style>
  <w:style w:type="character" w:styleId="758" w:customStyle="1">
    <w:name w:val="标题 Char"/>
    <w:basedOn w:val="676"/>
    <w:link w:val="702"/>
    <w:uiPriority w:val="10"/>
    <w:qFormat/>
    <w:rPr>
      <w:sz w:val="48"/>
      <w:szCs w:val="48"/>
    </w:rPr>
  </w:style>
  <w:style w:type="character" w:styleId="759" w:customStyle="1">
    <w:name w:val="副标题 Char"/>
    <w:basedOn w:val="676"/>
    <w:link w:val="695"/>
    <w:uiPriority w:val="11"/>
    <w:qFormat/>
    <w:rPr>
      <w:sz w:val="24"/>
      <w:szCs w:val="24"/>
    </w:rPr>
  </w:style>
  <w:style w:type="paragraph" w:styleId="760">
    <w:name w:val="Quote"/>
    <w:basedOn w:val="666"/>
    <w:next w:val="666"/>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66"/>
    <w:next w:val="666"/>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basedOn w:val="676"/>
    <w:uiPriority w:val="99"/>
    <w:qFormat/>
  </w:style>
  <w:style w:type="character" w:styleId="765" w:customStyle="1">
    <w:name w:val="Footer Char"/>
    <w:basedOn w:val="676"/>
    <w:uiPriority w:val="99"/>
    <w:qFormat/>
  </w:style>
  <w:style w:type="character" w:styleId="766" w:customStyle="1">
    <w:name w:val="Caption Char"/>
    <w:uiPriority w:val="99"/>
    <w:qFormat/>
  </w:style>
  <w:style w:type="table" w:styleId="767" w:customStyle="1">
    <w:name w:val="Table Grid Light"/>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67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7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7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7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7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7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7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7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7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7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7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7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7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7" w:customStyle="1">
    <w:name w:val="网格表 3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7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7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7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7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7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7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7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6" w:customStyle="1">
    <w:name w:val="Grid Table 4 - Accent 2"/>
    <w:basedOn w:val="67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7" w:customStyle="1">
    <w:name w:val="Grid Table 4 - Accent 3"/>
    <w:basedOn w:val="67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8" w:customStyle="1">
    <w:name w:val="Grid Table 4 - Accent 4"/>
    <w:basedOn w:val="67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9" w:customStyle="1">
    <w:name w:val="Grid Table 4 - Accent 5"/>
    <w:basedOn w:val="67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0" w:customStyle="1">
    <w:name w:val="Grid Table 4 - Accent 6"/>
    <w:basedOn w:val="67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1"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3" w:customStyle="1">
    <w:name w:val="Grid Table 5 Dark - Accent 2"/>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4" w:customStyle="1">
    <w:name w:val="Grid Table 5 Dark - Accent 3"/>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5" w:customStyle="1">
    <w:name w:val="Grid Table 5 Dark- Accent 4"/>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6" w:customStyle="1">
    <w:name w:val="Grid Table 5 Dark - Accent 5"/>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7" w:customStyle="1">
    <w:name w:val="Grid Table 5 Dark - Accent 6"/>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8" w:customStyle="1">
    <w:name w:val="网格表 6 彩色1"/>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7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7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7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12" w:customStyle="1">
    <w:name w:val="Grid Table 6 Colorful - Accent 4"/>
    <w:basedOn w:val="67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7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4" w:customStyle="1">
    <w:name w:val="Grid Table 6 Colorful - Accent 6"/>
    <w:basedOn w:val="67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5" w:customStyle="1">
    <w:name w:val="网格表 7 彩色1"/>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7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7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7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7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7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7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67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77"/>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77"/>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77"/>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77"/>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77"/>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77"/>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9" w:customStyle="1">
    <w:name w:val="清单表 21"/>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7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1" w:customStyle="1">
    <w:name w:val="List Table 2 - Accent 2"/>
    <w:basedOn w:val="67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2" w:customStyle="1">
    <w:name w:val="List Table 2 - Accent 3"/>
    <w:basedOn w:val="67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3" w:customStyle="1">
    <w:name w:val="List Table 2 - Accent 4"/>
    <w:basedOn w:val="67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4" w:customStyle="1">
    <w:name w:val="List Table 2 - Accent 5"/>
    <w:basedOn w:val="67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5" w:customStyle="1">
    <w:name w:val="List Table 2 - Accent 6"/>
    <w:basedOn w:val="67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6"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7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8" w:customStyle="1">
    <w:name w:val="List Table 3 - Accent 2"/>
    <w:basedOn w:val="67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7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7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7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7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3"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7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5" w:customStyle="1">
    <w:name w:val="List Table 4 - Accent 2"/>
    <w:basedOn w:val="67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6" w:customStyle="1">
    <w:name w:val="List Table 4 - Accent 3"/>
    <w:basedOn w:val="67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7" w:customStyle="1">
    <w:name w:val="List Table 4 - Accent 4"/>
    <w:basedOn w:val="67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8" w:customStyle="1">
    <w:name w:val="List Table 4 - Accent 5"/>
    <w:basedOn w:val="67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9" w:customStyle="1">
    <w:name w:val="List Table 4 - Accent 6"/>
    <w:basedOn w:val="67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0" w:customStyle="1">
    <w:name w:val="清单表 5 深色1"/>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7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7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7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7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7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7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67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77"/>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9" w:customStyle="1">
    <w:name w:val="List Table 6 Colorful - Accent 2"/>
    <w:basedOn w:val="677"/>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0" w:customStyle="1">
    <w:name w:val="List Table 6 Colorful - Accent 3"/>
    <w:basedOn w:val="677"/>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1" w:customStyle="1">
    <w:name w:val="List Table 6 Colorful - Accent 4"/>
    <w:basedOn w:val="677"/>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2" w:customStyle="1">
    <w:name w:val="List Table 6 Colorful - Accent 5"/>
    <w:basedOn w:val="677"/>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3" w:customStyle="1">
    <w:name w:val="List Table 6 Colorful - Accent 6"/>
    <w:basedOn w:val="677"/>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4" w:customStyle="1">
    <w:name w:val="清单表 7 彩色1"/>
    <w:basedOn w:val="67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77"/>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77"/>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77"/>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77"/>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77"/>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77"/>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3" w:customStyle="1">
    <w:name w:val="Lined - Accent 2"/>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4" w:customStyle="1">
    <w:name w:val="Lined - Accent 3"/>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5" w:customStyle="1">
    <w:name w:val="Lined - Accent 4"/>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6" w:customStyle="1">
    <w:name w:val="Lined - Accent 5"/>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7" w:customStyle="1">
    <w:name w:val="Lined - Accent 6"/>
    <w:basedOn w:val="67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8" w:customStyle="1">
    <w:name w:val="Bordered &amp; Lined - Accent"/>
    <w:basedOn w:val="67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7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0" w:customStyle="1">
    <w:name w:val="Bordered &amp; Lined - Accent 2"/>
    <w:basedOn w:val="67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1" w:customStyle="1">
    <w:name w:val="Bordered &amp; Lined - Accent 3"/>
    <w:basedOn w:val="67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2" w:customStyle="1">
    <w:name w:val="Bordered &amp; Lined - Accent 4"/>
    <w:basedOn w:val="67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3" w:customStyle="1">
    <w:name w:val="Bordered &amp; Lined - Accent 5"/>
    <w:basedOn w:val="67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4" w:customStyle="1">
    <w:name w:val="Bordered &amp; Lined - Accent 6"/>
    <w:basedOn w:val="67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5" w:customStyle="1">
    <w:name w:val="Bordered"/>
    <w:basedOn w:val="67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7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7" w:customStyle="1">
    <w:name w:val="Bordered - Accent 2"/>
    <w:basedOn w:val="67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8" w:customStyle="1">
    <w:name w:val="Bordered - Accent 3"/>
    <w:basedOn w:val="67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9" w:customStyle="1">
    <w:name w:val="Bordered - Accent 4"/>
    <w:basedOn w:val="67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0" w:customStyle="1">
    <w:name w:val="Bordered - Accent 5"/>
    <w:basedOn w:val="67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1" w:customStyle="1">
    <w:name w:val="Bordered - Accent 6"/>
    <w:basedOn w:val="67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2" w:customStyle="1">
    <w:name w:val="脚注文本 Char"/>
    <w:link w:val="696"/>
    <w:uiPriority w:val="99"/>
    <w:qFormat/>
    <w:rPr>
      <w:sz w:val="18"/>
    </w:rPr>
  </w:style>
  <w:style w:type="character" w:styleId="893" w:customStyle="1">
    <w:name w:val="尾注文本 Char"/>
    <w:link w:val="689"/>
    <w:uiPriority w:val="99"/>
    <w:qFormat/>
    <w:rPr>
      <w:sz w:val="20"/>
    </w:rPr>
  </w:style>
  <w:style w:type="paragraph" w:styleId="894" w:customStyle="1">
    <w:name w:val="TOC 标题11"/>
    <w:uiPriority w:val="39"/>
    <w:unhideWhenUsed/>
    <w:qFormat/>
    <w:rPr>
      <w:rFonts w:asciiTheme="minorHAnsi" w:hAnsiTheme="minorHAnsi" w:eastAsiaTheme="minorEastAsia" w:cstheme="minorBidi"/>
      <w:lang w:val="en-US" w:eastAsia="zh-CN" w:bidi="ar-SA"/>
    </w:rPr>
  </w:style>
  <w:style w:type="paragraph" w:styleId="895"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89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97" w:customStyle="1">
    <w:name w:val="一级目录"/>
    <w:next w:val="666"/>
    <w:uiPriority w:val="0"/>
    <w:qFormat/>
    <w:pPr>
      <w:jc w:val="center"/>
      <w:outlineLvl w:val="0"/>
    </w:pPr>
    <w:rPr>
      <w:rFonts w:ascii="黑体" w:hAnsi="Times New Roman" w:eastAsia="黑体" w:cs="Times New Roman"/>
      <w:b/>
      <w:sz w:val="44"/>
      <w:szCs w:val="44"/>
      <w:lang w:val="en-US" w:eastAsia="zh-CN" w:bidi="ar-SA"/>
    </w:rPr>
  </w:style>
  <w:style w:type="paragraph" w:styleId="898" w:customStyle="1">
    <w:name w:val="二级目录"/>
    <w:next w:val="666"/>
    <w:uiPriority w:val="0"/>
    <w:qFormat/>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paragraph" w:styleId="899" w:customStyle="1">
    <w:name w:val="Table Paragraph"/>
    <w:basedOn w:val="666"/>
    <w:uiPriority w:val="1"/>
    <w:qFormat/>
    <w:rPr>
      <w:rFonts w:ascii="宋体" w:hAnsi="宋体" w:cs="宋体"/>
      <w:lang w:val="zh-CN" w:bidi="zh-CN"/>
    </w:rPr>
  </w:style>
  <w:style w:type="paragraph" w:styleId="90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901" w:customStyle="1">
    <w:name w:val="正文文本11"/>
    <w:basedOn w:val="666"/>
    <w:next w:val="902"/>
    <w:uiPriority w:val="0"/>
    <w:qFormat/>
    <w:rPr>
      <w:rFonts w:ascii="楷体_GB2312" w:hAnsi="Arial" w:eastAsia="楷体_GB2312"/>
      <w:sz w:val="28"/>
      <w:szCs w:val="28"/>
    </w:rPr>
  </w:style>
  <w:style w:type="paragraph" w:styleId="902" w:customStyle="1">
    <w:name w:val="一级条标题"/>
    <w:basedOn w:val="903"/>
    <w:next w:val="9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3" w:customStyle="1">
    <w:name w:val="章标题"/>
    <w:next w:val="66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4" w:customStyle="1">
    <w:name w:val="段"/>
    <w:next w:val="666"/>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05" w:customStyle="1">
    <w:name w:val="font51"/>
    <w:basedOn w:val="676"/>
    <w:uiPriority w:val="0"/>
    <w:qFormat/>
    <w:rPr>
      <w:rFonts w:hint="eastAsia" w:ascii="宋体" w:hAnsi="宋体" w:eastAsia="宋体" w:cs="宋体"/>
      <w:b/>
      <w:bCs/>
      <w:color w:val="000000"/>
      <w:sz w:val="40"/>
      <w:szCs w:val="40"/>
      <w:u w:val="none"/>
    </w:rPr>
  </w:style>
  <w:style w:type="paragraph" w:styleId="906" w:customStyle="1">
    <w:name w:val="正文缩进1"/>
    <w:basedOn w:val="666"/>
    <w:uiPriority w:val="99"/>
    <w:qFormat/>
    <w:pPr>
      <w:jc w:val="left"/>
    </w:pPr>
    <w:rPr>
      <w:sz w:val="24"/>
    </w:rPr>
  </w:style>
  <w:style w:type="paragraph" w:styleId="907" w:customStyle="1">
    <w:name w:val="BodyText"/>
    <w:basedOn w:val="666"/>
    <w:uiPriority w:val="0"/>
    <w:qFormat/>
    <w:pPr>
      <w:ind w:left="72" w:right="30"/>
      <w:jc w:val="center"/>
      <w:spacing w:after="60" w:line="360" w:lineRule="atLeast"/>
    </w:pPr>
  </w:style>
  <w:style w:type="table" w:styleId="908" w:customStyle="1">
    <w:name w:val="网格型1"/>
    <w:basedOn w:val="67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customStyle="1">
    <w:name w:val="页脚 Char"/>
    <w:basedOn w:val="676"/>
    <w:link w:val="691"/>
    <w:uiPriority w:val="99"/>
    <w:qFormat/>
    <w:rPr>
      <w:rFonts w:ascii="Times New Roman" w:hAnsi="Times New Roman" w:eastAsia="宋体" w:cs="Times New Roman"/>
      <w:sz w:val="18"/>
      <w:szCs w:val="18"/>
    </w:rPr>
  </w:style>
  <w:style w:type="character" w:styleId="910" w:customStyle="1">
    <w:name w:val="font21"/>
    <w:basedOn w:val="676"/>
    <w:uiPriority w:val="0"/>
    <w:qFormat/>
    <w:rPr>
      <w:rFonts w:hint="eastAsia" w:ascii="宋体" w:hAnsi="宋体" w:eastAsia="宋体" w:cs="宋体"/>
      <w:color w:val="000000"/>
      <w:sz w:val="24"/>
      <w:szCs w:val="24"/>
      <w:u w:val="none"/>
    </w:rPr>
  </w:style>
  <w:style w:type="character" w:styleId="911" w:customStyle="1">
    <w:name w:val="active16"/>
    <w:basedOn w:val="676"/>
    <w:uiPriority w:val="0"/>
    <w:qFormat/>
    <w:rPr>
      <w:color w:val="ffffff"/>
      <w:shd w:val="clear" w:color="auto" w:fill="0f5bb9"/>
    </w:rPr>
  </w:style>
  <w:style w:type="paragraph" w:styleId="912" w:customStyle="1">
    <w:name w:val="正文1"/>
    <w:next w:val="913"/>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913" w:customStyle="1">
    <w:name w:val="正文文本1"/>
    <w:basedOn w:val="666"/>
    <w:next w:val="902"/>
    <w:uiPriority w:val="0"/>
    <w:qFormat/>
    <w:rPr>
      <w:sz w:val="24"/>
      <w:szCs w:val="24"/>
    </w:rPr>
  </w:style>
  <w:style w:type="character" w:styleId="914" w:customStyle="1">
    <w:name w:val="font41"/>
    <w:basedOn w:val="676"/>
    <w:uiPriority w:val="0"/>
    <w:qFormat/>
    <w:rPr>
      <w:rFonts w:hint="eastAsia" w:ascii="宋体" w:hAnsi="宋体" w:eastAsia="宋体" w:cs="宋体"/>
      <w:color w:val="000000"/>
      <w:sz w:val="18"/>
      <w:szCs w:val="18"/>
      <w:u w:val="none"/>
    </w:rPr>
  </w:style>
  <w:style w:type="character" w:styleId="915" w:customStyle="1">
    <w:name w:val="font61"/>
    <w:basedOn w:val="676"/>
    <w:uiPriority w:val="0"/>
    <w:qFormat/>
    <w:rPr>
      <w:rFonts w:ascii="宋体" w:hAnsi="宋体" w:eastAsia="宋体" w:cs="宋体"/>
      <w:color w:val="000000"/>
      <w:sz w:val="18"/>
      <w:szCs w:val="18"/>
      <w:u w:val="none"/>
    </w:rPr>
  </w:style>
  <w:style w:type="character" w:styleId="916" w:customStyle="1">
    <w:name w:val="font71"/>
    <w:basedOn w:val="676"/>
    <w:uiPriority w:val="0"/>
    <w:qFormat/>
    <w:rPr>
      <w:rFonts w:hint="eastAsia" w:ascii="宋体" w:hAnsi="宋体" w:eastAsia="宋体" w:cs="宋体"/>
      <w:color w:val="ff0000"/>
      <w:sz w:val="18"/>
      <w:szCs w:val="18"/>
      <w:u w:val="none"/>
    </w:rPr>
  </w:style>
  <w:style w:type="paragraph" w:styleId="917" w:customStyle="1">
    <w:name w:val="纯文本11"/>
    <w:uiPriority w:val="0"/>
    <w:qFormat/>
    <w:pPr>
      <w:jc w:val="both"/>
      <w:widowControl w:val="off"/>
    </w:pPr>
    <w:rPr>
      <w:rFonts w:hint="eastAsia" w:ascii="宋体" w:hAnsi="宋体" w:eastAsia="楷体_GB2312" w:cs="Times New Roman"/>
      <w:sz w:val="28"/>
      <w:lang w:val="en-US" w:eastAsia="zh-CN" w:bidi="ar-SA"/>
    </w:rPr>
  </w:style>
  <w:style w:type="character" w:styleId="918" w:customStyle="1">
    <w:name w:val="font11"/>
    <w:basedOn w:val="676"/>
    <w:uiPriority w:val="0"/>
    <w:qFormat/>
    <w:rPr>
      <w:rFonts w:hint="eastAsia" w:ascii="宋体" w:hAnsi="宋体" w:eastAsia="宋体" w:cs="宋体"/>
      <w:color w:val="000000"/>
      <w:sz w:val="20"/>
      <w:szCs w:val="20"/>
      <w:u w:val="none"/>
    </w:rPr>
  </w:style>
  <w:style w:type="character" w:styleId="919" w:customStyle="1">
    <w:name w:val="font81"/>
    <w:basedOn w:val="676"/>
    <w:uiPriority w:val="0"/>
    <w:qFormat/>
    <w:rPr>
      <w:rFonts w:hint="eastAsia" w:ascii="宋体" w:hAnsi="宋体" w:eastAsia="宋体" w:cs="宋体"/>
      <w:b/>
      <w:bCs/>
      <w:color w:val="000000"/>
      <w:sz w:val="20"/>
      <w:szCs w:val="20"/>
      <w:u w:val="none"/>
    </w:rPr>
  </w:style>
  <w:style w:type="character" w:styleId="920" w:customStyle="1">
    <w:name w:val="font91"/>
    <w:basedOn w:val="676"/>
    <w:uiPriority w:val="0"/>
    <w:qFormat/>
    <w:rPr>
      <w:rFonts w:hint="eastAsia" w:ascii="宋体" w:hAnsi="宋体" w:eastAsia="宋体" w:cs="宋体"/>
      <w:color w:val="ff0000"/>
      <w:sz w:val="18"/>
      <w:szCs w:val="18"/>
      <w:u w:val="none"/>
    </w:rPr>
  </w:style>
  <w:style w:type="character" w:styleId="921" w:customStyle="1">
    <w:name w:val="font31"/>
    <w:basedOn w:val="676"/>
    <w:uiPriority w:val="0"/>
    <w:qFormat/>
    <w:rPr>
      <w:rFonts w:hint="eastAsia" w:ascii="宋体" w:hAnsi="宋体" w:eastAsia="宋体" w:cs="宋体"/>
      <w:color w:val="ff0000"/>
      <w:sz w:val="18"/>
      <w:szCs w:val="18"/>
      <w:u w:val="none"/>
    </w:rPr>
  </w:style>
  <w:style w:type="table" w:styleId="922" w:customStyle="1">
    <w:name w:val="Table Normal"/>
    <w:uiPriority w:val="0"/>
    <w:semiHidden/>
    <w:unhideWhenUsed/>
    <w:qFormat/>
    <w:tblPr>
      <w:tblCellMar>
        <w:left w:w="0" w:type="dxa"/>
        <w:top w:w="0" w:type="dxa"/>
        <w:right w:w="0" w:type="dxa"/>
        <w:bottom w:w="0" w:type="dxa"/>
      </w:tblCellMar>
    </w:tblPr>
  </w:style>
  <w:style w:type="character" w:styleId="923" w:customStyle="1">
    <w:name w:val="批注框文本 Char"/>
    <w:basedOn w:val="676"/>
    <w:link w:val="690"/>
    <w:uiPriority w:val="99"/>
    <w:semiHidden/>
    <w:qFormat/>
    <w:rPr>
      <w:sz w:val="18"/>
      <w:szCs w:val="18"/>
    </w:rPr>
  </w:style>
  <w:style w:type="character" w:styleId="924" w:customStyle="1">
    <w:name w:val="font01"/>
    <w:uiPriority w:val="0"/>
    <w:qFormat/>
    <w:rPr>
      <w:rFonts w:hint="default" w:ascii="Times New Roman" w:hAnsi="Times New Roman" w:cs="Times New Roman"/>
      <w:color w:val="000000"/>
      <w:sz w:val="24"/>
      <w:szCs w:val="24"/>
      <w:u w:val="none"/>
    </w:rPr>
  </w:style>
  <w:style w:type="table" w:styleId="925" w:customStyle="1">
    <w:name w:val="网格型52"/>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6" w:customStyle="1">
    <w:name w:val="表"/>
    <w:basedOn w:val="666"/>
    <w:uiPriority w:val="0"/>
    <w:qFormat/>
    <w:pPr>
      <w:ind w:firstLine="0"/>
      <w:spacing w:line="312" w:lineRule="auto"/>
    </w:pPr>
    <w:rPr>
      <w:rFonts w:ascii="Calibri" w:hAnsi="Calibri" w:cs="宋体"/>
      <w:sz w:val="21"/>
    </w:rPr>
  </w:style>
  <w:style w:type="numbering" w:styleId="11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耿和美</cp:lastModifiedBy>
  <cp:revision>33</cp:revision>
  <dcterms:created xsi:type="dcterms:W3CDTF">2014-10-30T04:08:00Z</dcterms:created>
  <dcterms:modified xsi:type="dcterms:W3CDTF">2026-06-10T03:05:34Z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7B8177EACD8E4C90A9E951D069DA1958_13</vt:lpwstr>
  </property>
  <property fmtid="{D5CDD505-2E9C-101B-9397-08002B2CF9AE}" pid="4" name="KSOTemplateDocerSaveRecord">
    <vt:lpwstr>eyJoZGlkIjoiZDg1OGExOWE3OGQ5M2Y4YjAzMDlmOThjNTg0M2YxMmIiLCJ1c2VySWQiOiI0ODQ3Njg4NTQifQ==</vt:lpwstr>
  </property>
</Properties>
</file>